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4"/>
          <w:szCs w:val="44"/>
          <w:lang w:eastAsia="zh-CN"/>
        </w:rPr>
      </w:pPr>
      <w:r>
        <w:rPr>
          <w:rFonts w:hint="eastAsia"/>
          <w:b/>
          <w:sz w:val="44"/>
          <w:szCs w:val="44"/>
          <w:lang w:eastAsia="zh-CN"/>
        </w:rPr>
        <w:t>川投（达州）燃气发电有限公司</w:t>
      </w:r>
    </w:p>
    <w:p>
      <w:pPr>
        <w:spacing w:line="360" w:lineRule="auto"/>
        <w:jc w:val="center"/>
        <w:rPr>
          <w:rFonts w:hint="eastAsia"/>
          <w:b/>
          <w:sz w:val="44"/>
          <w:szCs w:val="44"/>
          <w:lang w:val="en-US" w:eastAsia="zh-CN"/>
        </w:rPr>
      </w:pPr>
      <w:r>
        <w:rPr>
          <w:rFonts w:hint="eastAsia"/>
          <w:b/>
          <w:sz w:val="44"/>
          <w:szCs w:val="44"/>
          <w:lang w:val="en-US" w:eastAsia="zh-CN"/>
        </w:rPr>
        <w:t>达州燃气电站二期扩建项目接入系统报告编制</w:t>
      </w:r>
    </w:p>
    <w:p>
      <w:pPr>
        <w:pStyle w:val="5"/>
        <w:jc w:val="center"/>
        <w:rPr>
          <w:rFonts w:hint="eastAsia" w:ascii="方正小标宋简体" w:hAnsi="方正小标宋简体" w:eastAsia="方正小标宋简体" w:cs="方正小标宋简体"/>
          <w:b/>
          <w:color w:val="000000"/>
          <w:sz w:val="72"/>
          <w:szCs w:val="72"/>
          <w:lang w:eastAsia="zh-CN"/>
        </w:rPr>
      </w:pPr>
      <w:r>
        <w:rPr>
          <w:rFonts w:hint="eastAsia"/>
          <w:b/>
          <w:sz w:val="44"/>
          <w:szCs w:val="44"/>
          <w:lang w:val="en-US" w:eastAsia="zh-CN"/>
        </w:rPr>
        <w:t>中介机构选聘招标公告</w:t>
      </w:r>
    </w:p>
    <w:p>
      <w:pPr>
        <w:rPr>
          <w:rFonts w:ascii="仿宋_GB2312" w:eastAsia="仿宋_GB2312"/>
          <w:color w:val="000000"/>
          <w:sz w:val="24"/>
        </w:rPr>
      </w:pPr>
      <w:bookmarkStart w:id="0" w:name="_Toc17186211"/>
      <w:bookmarkStart w:id="1" w:name="_Toc109212584"/>
      <w:bookmarkStart w:id="2" w:name="_Toc44141193"/>
      <w:bookmarkStart w:id="3" w:name="_Toc16393651"/>
    </w:p>
    <w:p>
      <w:pPr>
        <w:spacing w:line="479" w:lineRule="exact"/>
        <w:ind w:firstLine="480" w:firstLineChars="200"/>
        <w:rPr>
          <w:rFonts w:ascii="仿宋_GB2312" w:eastAsia="仿宋_GB2312"/>
          <w:color w:val="000000"/>
          <w:sz w:val="24"/>
          <w:highlight w:val="yellow"/>
        </w:rPr>
      </w:pPr>
      <w:r>
        <w:rPr>
          <w:rFonts w:hint="eastAsia" w:ascii="仿宋_GB2312" w:eastAsia="仿宋_GB2312"/>
          <w:color w:val="000000"/>
          <w:sz w:val="24"/>
          <w:lang w:eastAsia="zh-CN"/>
        </w:rPr>
        <w:t>川投（达州）燃气发电有限公司</w:t>
      </w:r>
      <w:r>
        <w:rPr>
          <w:rFonts w:hint="eastAsia" w:ascii="仿宋_GB2312" w:eastAsia="仿宋_GB2312"/>
          <w:color w:val="000000"/>
          <w:sz w:val="24"/>
        </w:rPr>
        <w:t>拟</w:t>
      </w:r>
      <w:r>
        <w:rPr>
          <w:rFonts w:hint="eastAsia" w:ascii="仿宋_GB2312" w:eastAsia="仿宋_GB2312"/>
          <w:color w:val="000000"/>
          <w:sz w:val="24"/>
          <w:lang w:val="en-US" w:eastAsia="zh-CN"/>
        </w:rPr>
        <w:t>开展达州气电达州燃气电站二期扩建项目接入系统报告编制工作</w:t>
      </w:r>
      <w:r>
        <w:rPr>
          <w:rFonts w:hint="eastAsia" w:ascii="仿宋_GB2312" w:eastAsia="仿宋_GB2312"/>
          <w:color w:val="000000"/>
          <w:sz w:val="24"/>
        </w:rPr>
        <w:t>，根据</w:t>
      </w:r>
      <w:r>
        <w:rPr>
          <w:rFonts w:hint="eastAsia" w:ascii="仿宋_GB2312" w:eastAsia="仿宋_GB2312"/>
          <w:color w:val="000000"/>
          <w:sz w:val="24"/>
          <w:lang w:eastAsia="zh-CN"/>
        </w:rPr>
        <w:t>达州气电《</w:t>
      </w:r>
      <w:r>
        <w:rPr>
          <w:rFonts w:hint="eastAsia" w:ascii="仿宋_GB2312" w:eastAsia="仿宋_GB2312"/>
          <w:color w:val="000000"/>
          <w:sz w:val="24"/>
          <w:lang w:val="en-US" w:eastAsia="zh-CN"/>
        </w:rPr>
        <w:t>招标管理办法</w:t>
      </w:r>
      <w:r>
        <w:rPr>
          <w:rFonts w:hint="eastAsia" w:ascii="仿宋_GB2312" w:eastAsia="仿宋_GB2312"/>
          <w:color w:val="000000"/>
          <w:sz w:val="24"/>
          <w:lang w:eastAsia="zh-CN"/>
        </w:rPr>
        <w:t>》</w:t>
      </w:r>
      <w:r>
        <w:rPr>
          <w:rFonts w:hint="eastAsia" w:ascii="仿宋_GB2312" w:eastAsia="仿宋_GB2312"/>
          <w:color w:val="000000"/>
          <w:sz w:val="24"/>
        </w:rPr>
        <w:t>《</w:t>
      </w:r>
      <w:r>
        <w:rPr>
          <w:rFonts w:hint="eastAsia" w:ascii="仿宋_GB2312" w:eastAsia="仿宋_GB2312"/>
          <w:color w:val="000000"/>
          <w:sz w:val="24"/>
          <w:lang w:val="en-US" w:eastAsia="zh-CN"/>
        </w:rPr>
        <w:t>采购管理办法</w:t>
      </w:r>
      <w:r>
        <w:rPr>
          <w:rFonts w:hint="eastAsia" w:ascii="仿宋_GB2312" w:eastAsia="仿宋_GB2312"/>
          <w:color w:val="000000"/>
          <w:sz w:val="24"/>
        </w:rPr>
        <w:t>》</w:t>
      </w:r>
      <w:r>
        <w:rPr>
          <w:rFonts w:hint="eastAsia" w:ascii="仿宋_GB2312" w:eastAsia="仿宋_GB2312"/>
          <w:color w:val="000000"/>
          <w:sz w:val="24"/>
          <w:lang w:val="en-US" w:eastAsia="zh-CN"/>
        </w:rPr>
        <w:t>规定</w:t>
      </w:r>
      <w:r>
        <w:rPr>
          <w:rFonts w:hint="eastAsia" w:ascii="仿宋_GB2312" w:eastAsia="仿宋_GB2312"/>
          <w:color w:val="000000"/>
          <w:sz w:val="24"/>
        </w:rPr>
        <w:t>，</w:t>
      </w:r>
      <w:r>
        <w:rPr>
          <w:rFonts w:hint="eastAsia" w:ascii="仿宋_GB2312" w:eastAsia="仿宋_GB2312"/>
          <w:color w:val="auto"/>
          <w:sz w:val="24"/>
        </w:rPr>
        <w:t>现通过公开</w:t>
      </w:r>
      <w:r>
        <w:rPr>
          <w:rFonts w:hint="eastAsia" w:ascii="仿宋_GB2312" w:eastAsia="仿宋_GB2312"/>
          <w:color w:val="auto"/>
          <w:sz w:val="24"/>
          <w:lang w:val="en-US" w:eastAsia="zh-CN"/>
        </w:rPr>
        <w:t>招标</w:t>
      </w:r>
      <w:r>
        <w:rPr>
          <w:rFonts w:hint="eastAsia" w:ascii="仿宋_GB2312" w:eastAsia="仿宋_GB2312"/>
          <w:color w:val="auto"/>
          <w:sz w:val="24"/>
        </w:rPr>
        <w:t>方式选聘中介机构</w:t>
      </w:r>
      <w:r>
        <w:rPr>
          <w:rFonts w:hint="eastAsia" w:ascii="仿宋_GB2312" w:eastAsia="仿宋_GB2312"/>
          <w:color w:val="auto"/>
          <w:sz w:val="24"/>
          <w:lang w:val="en-US" w:eastAsia="zh-CN"/>
        </w:rPr>
        <w:t>提供达州气电达州燃气电站二期扩建项目接入系统报告编制</w:t>
      </w:r>
      <w:r>
        <w:rPr>
          <w:rFonts w:hint="eastAsia" w:ascii="仿宋_GB2312" w:eastAsia="仿宋_GB2312"/>
          <w:color w:val="auto"/>
          <w:sz w:val="24"/>
        </w:rPr>
        <w:t>服务，欢迎符合资质条件的中介机构申请参加</w:t>
      </w:r>
      <w:r>
        <w:rPr>
          <w:rFonts w:hint="eastAsia" w:ascii="仿宋_GB2312" w:eastAsia="仿宋_GB2312"/>
          <w:color w:val="auto"/>
          <w:sz w:val="24"/>
          <w:lang w:val="en-US" w:eastAsia="zh-CN"/>
        </w:rPr>
        <w:t>本次公开招标</w:t>
      </w:r>
      <w:r>
        <w:rPr>
          <w:rFonts w:hint="eastAsia" w:ascii="仿宋_GB2312" w:eastAsia="仿宋_GB2312"/>
          <w:color w:val="auto"/>
          <w:sz w:val="24"/>
        </w:rPr>
        <w:t>活动</w:t>
      </w:r>
      <w:r>
        <w:rPr>
          <w:rFonts w:hint="eastAsia" w:ascii="仿宋_GB2312" w:eastAsia="仿宋_GB2312"/>
          <w:color w:val="auto"/>
          <w:sz w:val="24"/>
          <w:lang w:eastAsia="zh-CN"/>
        </w:rPr>
        <w:t>。</w:t>
      </w:r>
    </w:p>
    <w:p>
      <w:pPr>
        <w:keepNext w:val="0"/>
        <w:keepLines w:val="0"/>
        <w:pageBreakBefore w:val="0"/>
        <w:widowControl w:val="0"/>
        <w:tabs>
          <w:tab w:val="left" w:pos="3585"/>
        </w:tabs>
        <w:kinsoku/>
        <w:wordWrap/>
        <w:overflowPunct/>
        <w:topLinePunct w:val="0"/>
        <w:autoSpaceDE/>
        <w:autoSpaceDN/>
        <w:bidi w:val="0"/>
        <w:adjustRightInd/>
        <w:snapToGrid/>
        <w:spacing w:line="479" w:lineRule="exact"/>
        <w:ind w:firstLine="480" w:firstLineChars="200"/>
        <w:textAlignment w:val="auto"/>
        <w:rPr>
          <w:rFonts w:hint="eastAsia" w:ascii="黑体" w:eastAsia="黑体"/>
          <w:color w:val="000000"/>
          <w:sz w:val="24"/>
          <w:lang w:eastAsia="zh-CN"/>
        </w:rPr>
      </w:pPr>
      <w:bookmarkStart w:id="4" w:name="_Toc355712333"/>
      <w:bookmarkStart w:id="5" w:name="_Toc355875834"/>
      <w:bookmarkStart w:id="6" w:name="_Toc355712663"/>
      <w:bookmarkStart w:id="7" w:name="_Toc355713694"/>
      <w:bookmarkStart w:id="8" w:name="_Toc355792436"/>
      <w:bookmarkStart w:id="9" w:name="_Toc355712550"/>
      <w:bookmarkStart w:id="10" w:name="_Toc355860709"/>
      <w:r>
        <w:rPr>
          <w:rFonts w:hint="eastAsia" w:ascii="黑体" w:eastAsia="黑体"/>
          <w:color w:val="000000"/>
          <w:sz w:val="24"/>
        </w:rPr>
        <w:t>一、招标人概况</w:t>
      </w:r>
      <w:bookmarkEnd w:id="4"/>
      <w:bookmarkEnd w:id="5"/>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479" w:lineRule="exact"/>
        <w:ind w:firstLine="480" w:firstLineChars="200"/>
        <w:textAlignment w:val="auto"/>
        <w:rPr>
          <w:rFonts w:hint="eastAsia" w:ascii="仿宋_GB2312" w:hAnsi="Times New Roman" w:eastAsia="仿宋_GB2312" w:cs="Times New Roman"/>
          <w:b w:val="0"/>
          <w:bCs w:val="0"/>
          <w:sz w:val="24"/>
        </w:rPr>
      </w:pPr>
      <w:r>
        <w:rPr>
          <w:rFonts w:hint="eastAsia" w:ascii="仿宋_GB2312" w:eastAsia="仿宋_GB2312" w:cs="Times New Roman"/>
          <w:b w:val="0"/>
          <w:bCs w:val="0"/>
          <w:sz w:val="24"/>
          <w:lang w:eastAsia="zh-CN"/>
        </w:rPr>
        <w:t>川投（达州）燃气发电有限公司</w:t>
      </w:r>
      <w:r>
        <w:rPr>
          <w:rFonts w:hint="eastAsia" w:ascii="仿宋_GB2312" w:hAnsi="Times New Roman" w:eastAsia="仿宋_GB2312" w:cs="Times New Roman"/>
          <w:b w:val="0"/>
          <w:bCs w:val="0"/>
          <w:sz w:val="24"/>
        </w:rPr>
        <w:t>成立于2011年11月28日，由</w:t>
      </w:r>
      <w:r>
        <w:rPr>
          <w:rFonts w:hint="eastAsia" w:ascii="仿宋_GB2312" w:eastAsia="仿宋_GB2312" w:cs="Times New Roman"/>
          <w:b w:val="0"/>
          <w:bCs w:val="0"/>
          <w:sz w:val="24"/>
          <w:lang w:eastAsia="zh-CN"/>
        </w:rPr>
        <w:t>川投（达州）燃气发电有限公司</w:t>
      </w:r>
      <w:r>
        <w:rPr>
          <w:rFonts w:hint="eastAsia" w:ascii="仿宋_GB2312" w:hAnsi="Times New Roman" w:eastAsia="仿宋_GB2312" w:cs="Times New Roman"/>
          <w:b w:val="0"/>
          <w:bCs w:val="0"/>
          <w:sz w:val="24"/>
        </w:rPr>
        <w:t xml:space="preserve">、四川省能源投资集团有限责任公司、达州市国有资产经营管理公司按照85％、10％和5％的出资比例共同出资设立。公司为国有企业，注册资金5亿元人民币，注册地在四川省达州市。 </w:t>
      </w:r>
    </w:p>
    <w:p>
      <w:pPr>
        <w:keepNext w:val="0"/>
        <w:keepLines w:val="0"/>
        <w:pageBreakBefore w:val="0"/>
        <w:widowControl w:val="0"/>
        <w:kinsoku/>
        <w:wordWrap/>
        <w:overflowPunct/>
        <w:topLinePunct w:val="0"/>
        <w:autoSpaceDE/>
        <w:autoSpaceDN/>
        <w:bidi w:val="0"/>
        <w:adjustRightInd/>
        <w:snapToGrid/>
        <w:spacing w:line="479" w:lineRule="exact"/>
        <w:ind w:firstLine="480" w:firstLineChars="200"/>
        <w:textAlignment w:val="auto"/>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rPr>
        <w:t>公司负责开发、建设的达州天然气发电项目，规划装机容量为4×350MW等级燃气－蒸汽联合循环机组，总投资约50亿元，分两期建设。一期装机为2×350MW等级F级燃气－蒸汽联合循环机组，2012年11月获得国家发改委核准批复并开工建设。于2015年6月双机投产发电。公司位于四川省达州市化工能源产业园区内，是四川省首座大型环保燃气电站，同时也是四川省重点建设项目</w:t>
      </w:r>
      <w:r>
        <w:rPr>
          <w:rFonts w:hint="eastAsia" w:ascii="仿宋_GB2312" w:hAnsi="Times New Roman" w:eastAsia="仿宋_GB2312" w:cs="Times New Roman"/>
          <w:b w:val="0"/>
          <w:bCs w:val="0"/>
          <w:sz w:val="24"/>
          <w:lang w:eastAsia="zh-CN"/>
        </w:rPr>
        <w:t>。</w:t>
      </w:r>
    </w:p>
    <w:p>
      <w:pPr>
        <w:keepNext w:val="0"/>
        <w:keepLines w:val="0"/>
        <w:pageBreakBefore w:val="0"/>
        <w:widowControl w:val="0"/>
        <w:kinsoku/>
        <w:wordWrap/>
        <w:overflowPunct/>
        <w:topLinePunct w:val="0"/>
        <w:autoSpaceDE/>
        <w:autoSpaceDN/>
        <w:bidi w:val="0"/>
        <w:adjustRightInd/>
        <w:snapToGrid/>
        <w:spacing w:line="479" w:lineRule="exact"/>
        <w:ind w:firstLine="480" w:firstLineChars="200"/>
        <w:textAlignment w:val="auto"/>
        <w:rPr>
          <w:rFonts w:ascii="仿宋_GB2312" w:eastAsia="仿宋_GB2312"/>
          <w:bCs/>
          <w:sz w:val="24"/>
        </w:rPr>
      </w:pPr>
      <w:r>
        <w:rPr>
          <w:rFonts w:hint="eastAsia" w:ascii="仿宋_GB2312" w:eastAsia="仿宋_GB2312" w:cs="Times New Roman"/>
          <w:b w:val="0"/>
          <w:bCs w:val="0"/>
          <w:sz w:val="24"/>
          <w:lang w:val="en-US" w:eastAsia="zh-CN"/>
        </w:rPr>
        <w:t>二期项目</w:t>
      </w:r>
      <w:r>
        <w:rPr>
          <w:rFonts w:hint="eastAsia" w:ascii="仿宋_GB2312" w:hAnsi="Times New Roman" w:eastAsia="仿宋_GB2312" w:cs="Times New Roman"/>
          <w:b w:val="0"/>
          <w:bCs w:val="0"/>
          <w:sz w:val="24"/>
        </w:rPr>
        <w:t>建设2台H(J)级（2×610～750MW容量燃气-蒸汽联合循环发电机组，项目建设地点为：达州市高新区斌</w:t>
      </w:r>
      <w:r>
        <w:rPr>
          <w:rFonts w:hint="eastAsia" w:ascii="仿宋_GB2312" w:hAnsi="Times New Roman" w:eastAsia="仿宋_GB2312" w:cs="Times New Roman"/>
          <w:b w:val="0"/>
          <w:bCs w:val="0"/>
          <w:sz w:val="24"/>
          <w:lang w:val="en-US" w:eastAsia="zh-CN"/>
        </w:rPr>
        <w:t>郎</w:t>
      </w:r>
      <w:r>
        <w:rPr>
          <w:rFonts w:hint="eastAsia" w:ascii="仿宋_GB2312" w:eastAsia="仿宋_GB2312" w:cs="Times New Roman"/>
          <w:b w:val="0"/>
          <w:bCs w:val="0"/>
          <w:sz w:val="24"/>
          <w:lang w:val="en-US" w:eastAsia="zh-CN"/>
        </w:rPr>
        <w:t>街道桥坝社区7组</w:t>
      </w:r>
      <w:r>
        <w:rPr>
          <w:rFonts w:hint="eastAsia" w:ascii="仿宋_GB2312" w:hAnsi="Times New Roman" w:eastAsia="仿宋_GB2312" w:cs="Times New Roman"/>
          <w:b w:val="0"/>
          <w:bCs w:val="0"/>
          <w:sz w:val="24"/>
        </w:rPr>
        <w:t>。</w:t>
      </w:r>
    </w:p>
    <w:p>
      <w:pPr>
        <w:spacing w:line="479" w:lineRule="exact"/>
        <w:ind w:firstLine="482" w:firstLineChars="200"/>
        <w:jc w:val="left"/>
        <w:rPr>
          <w:rFonts w:ascii="黑体" w:hAnsi="黑体" w:eastAsia="黑体" w:cs="黑体"/>
          <w:b/>
          <w:sz w:val="24"/>
        </w:rPr>
      </w:pPr>
      <w:r>
        <w:rPr>
          <w:rFonts w:hint="eastAsia" w:ascii="黑体" w:hAnsi="黑体" w:eastAsia="黑体" w:cs="黑体"/>
          <w:b/>
          <w:sz w:val="24"/>
        </w:rPr>
        <w:t>二、招标范围</w:t>
      </w:r>
    </w:p>
    <w:p>
      <w:pPr>
        <w:spacing w:line="479" w:lineRule="exact"/>
        <w:ind w:firstLine="480" w:firstLineChars="200"/>
        <w:rPr>
          <w:rFonts w:hint="default" w:ascii="楷体_GB2312" w:hAnsi="楷体_GB2312" w:eastAsia="仿宋_GB2312" w:cs="楷体_GB2312"/>
          <w:b/>
          <w:sz w:val="24"/>
          <w:szCs w:val="24"/>
          <w:lang w:val="en-US" w:eastAsia="zh-CN"/>
        </w:rPr>
      </w:pPr>
      <w:r>
        <w:rPr>
          <w:rFonts w:hint="eastAsia" w:ascii="仿宋_GB2312" w:hAnsi="仿宋_GB2312" w:eastAsia="仿宋_GB2312" w:cs="仿宋_GB2312"/>
          <w:sz w:val="24"/>
          <w:szCs w:val="24"/>
          <w:lang w:val="en-US" w:eastAsia="zh-CN"/>
        </w:rPr>
        <w:t>按</w:t>
      </w:r>
      <w:r>
        <w:rPr>
          <w:rFonts w:hint="eastAsia" w:ascii="仿宋_GB2312" w:hAnsi="仿宋_GB2312" w:eastAsia="仿宋_GB2312" w:cs="仿宋_GB2312"/>
          <w:sz w:val="24"/>
          <w:szCs w:val="24"/>
        </w:rPr>
        <w:t>《国家电网公司大型电厂接入系统设计内容深度规定》、《大型水、火电厂接入系统设计内容深度规定》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《电力系统设计技术规程》等有关规程规定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开展达州气电达州燃气电站二期扩建项目（本期2台700MW的H（J）级燃气蒸汽联合循环发电机组）接入系统报告编制和审查，具体工作包括但不限于以下：</w:t>
      </w:r>
    </w:p>
    <w:p>
      <w:pPr>
        <w:spacing w:line="479"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rPr>
        <w:t>一次部分：电力系统现况及设计电厂概述；电力需求预测及电源规划、电力平衡及调峰平衡；本工程建设的必要性及在系统中的地位和作用；电厂接入系统方案（含技术经济比较分析）；电气计算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潮流、稳定、短路电流、工频过电压等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；对电厂电气主接线方案及有关电气设备参数的要求；主要结论和建议；配套建设项目及投资估算。</w:t>
      </w:r>
    </w:p>
    <w:p>
      <w:pPr>
        <w:spacing w:line="479"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二次部分：根据本工程电气接入系统方案，提供系统继电保护和安全自动装置、系统调度自动化、系统通信三个部分的方案配置、设备选择以及投资估算。继电保护和安全自动装置主要包括：线路保护、断路器保护、重合闸装置、故障录波、继电保护及故障信息管理子站、安全稳定装置、对相关专业及电气设备的要求等。系统调度自动化主要包括：所处电网自动化现状、调度关系与远动信息、远动设备及通道、AGC/AVC要求、电能计量、调度数据网、电力市场竞价决策系统、电网调度管理信息系统、功角测量装置、电站二次防护等。系统通信主要包括：通信系统现状及规划、数据通信网、电话交换网、调度视频、通道要求及方案等。</w:t>
      </w:r>
    </w:p>
    <w:p>
      <w:pPr>
        <w:spacing w:line="479"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kern w:val="2"/>
          <w:sz w:val="24"/>
          <w:szCs w:val="24"/>
          <w:lang w:val="en-US" w:eastAsia="zh-CN" w:bidi="ar-SA"/>
        </w:rPr>
        <w:t>协助完成接入系统报告审查。开展项目接入系统报告专家审查工作</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b/>
          <w:bCs/>
          <w:sz w:val="24"/>
          <w:szCs w:val="24"/>
          <w:highlight w:val="none"/>
        </w:rPr>
        <w:t>若接入系统</w:t>
      </w:r>
      <w:r>
        <w:rPr>
          <w:rFonts w:hint="eastAsia" w:ascii="仿宋_GB2312" w:hAnsi="仿宋_GB2312" w:eastAsia="仿宋_GB2312" w:cs="仿宋_GB2312"/>
          <w:b/>
          <w:bCs/>
          <w:sz w:val="24"/>
          <w:szCs w:val="24"/>
          <w:highlight w:val="none"/>
          <w:lang w:val="en-US" w:eastAsia="zh-CN"/>
        </w:rPr>
        <w:t>设计以</w:t>
      </w:r>
      <w:r>
        <w:rPr>
          <w:rFonts w:hint="eastAsia" w:ascii="仿宋_GB2312" w:hAnsi="仿宋_GB2312" w:eastAsia="仿宋_GB2312" w:cs="仿宋_GB2312"/>
          <w:b/>
          <w:bCs/>
          <w:sz w:val="24"/>
          <w:szCs w:val="24"/>
          <w:highlight w:val="none"/>
        </w:rPr>
        <w:t>500kV电压等级接入电网，由</w:t>
      </w:r>
      <w:r>
        <w:rPr>
          <w:rFonts w:hint="eastAsia" w:ascii="仿宋_GB2312" w:hAnsi="仿宋_GB2312" w:eastAsia="仿宋_GB2312" w:cs="仿宋_GB2312"/>
          <w:b/>
          <w:bCs/>
          <w:sz w:val="24"/>
          <w:szCs w:val="24"/>
          <w:highlight w:val="none"/>
          <w:lang w:eastAsia="zh-CN"/>
        </w:rPr>
        <w:t>招标人</w:t>
      </w:r>
      <w:r>
        <w:rPr>
          <w:rFonts w:hint="eastAsia" w:ascii="仿宋_GB2312" w:hAnsi="仿宋_GB2312" w:eastAsia="仿宋_GB2312" w:cs="仿宋_GB2312"/>
          <w:b/>
          <w:bCs/>
          <w:sz w:val="24"/>
          <w:szCs w:val="24"/>
          <w:highlight w:val="none"/>
        </w:rPr>
        <w:t>另行委托有资质的单位进行评审</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kern w:val="2"/>
          <w:sz w:val="24"/>
          <w:szCs w:val="24"/>
          <w:lang w:val="en-US" w:eastAsia="zh-CN" w:bidi="ar-SA"/>
        </w:rPr>
        <w:t>并根据审查意见对报告进行修编、完善</w:t>
      </w:r>
      <w:r>
        <w:rPr>
          <w:rFonts w:hint="eastAsia" w:ascii="仿宋_GB2312" w:hAnsi="仿宋_GB2312" w:eastAsia="仿宋_GB2312" w:cs="仿宋_GB2312"/>
          <w:sz w:val="24"/>
          <w:szCs w:val="24"/>
          <w:lang w:eastAsia="zh-CN"/>
        </w:rPr>
        <w:t>。</w:t>
      </w:r>
    </w:p>
    <w:p>
      <w:pPr>
        <w:numPr>
          <w:ilvl w:val="-1"/>
          <w:numId w:val="0"/>
        </w:numPr>
        <w:spacing w:line="479" w:lineRule="exact"/>
        <w:ind w:firstLine="480" w:firstLineChars="200"/>
        <w:jc w:val="left"/>
        <w:rPr>
          <w:rFonts w:hint="eastAsia" w:ascii="黑体" w:hAnsi="黑体" w:eastAsia="黑体" w:cs="黑体"/>
          <w:b/>
          <w:kern w:val="2"/>
          <w:sz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kern w:val="2"/>
          <w:sz w:val="24"/>
          <w:szCs w:val="24"/>
          <w:lang w:val="en-US" w:eastAsia="zh-CN" w:bidi="ar-SA"/>
        </w:rPr>
        <w:t>协助取得国家电网有限公司对项目接入系统批复文件。</w:t>
      </w:r>
    </w:p>
    <w:p>
      <w:pPr>
        <w:numPr>
          <w:ilvl w:val="-1"/>
          <w:numId w:val="0"/>
        </w:numPr>
        <w:spacing w:line="479" w:lineRule="exact"/>
        <w:ind w:firstLine="482" w:firstLineChars="200"/>
        <w:jc w:val="left"/>
      </w:pPr>
      <w:r>
        <w:rPr>
          <w:rFonts w:hint="eastAsia" w:ascii="黑体" w:hAnsi="黑体" w:eastAsia="黑体" w:cs="黑体"/>
          <w:b/>
          <w:kern w:val="2"/>
          <w:sz w:val="24"/>
          <w:lang w:eastAsia="zh-CN"/>
        </w:rPr>
        <w:t>三、</w:t>
      </w:r>
      <w:r>
        <w:rPr>
          <w:rFonts w:hint="eastAsia" w:ascii="黑体" w:hAnsi="黑体" w:eastAsia="黑体" w:cs="黑体"/>
          <w:b/>
          <w:color w:val="000000"/>
          <w:kern w:val="2"/>
          <w:sz w:val="24"/>
        </w:rPr>
        <w:t>各项受托工作完成时间要求</w:t>
      </w:r>
    </w:p>
    <w:p>
      <w:pPr>
        <w:keepNext w:val="0"/>
        <w:keepLines w:val="0"/>
        <w:pageBreakBefore w:val="0"/>
        <w:widowControl w:val="0"/>
        <w:kinsoku/>
        <w:wordWrap/>
        <w:overflowPunct/>
        <w:topLinePunct w:val="0"/>
        <w:autoSpaceDE/>
        <w:autoSpaceDN/>
        <w:bidi w:val="0"/>
        <w:adjustRightInd/>
        <w:snapToGrid/>
        <w:spacing w:line="479" w:lineRule="exact"/>
        <w:ind w:firstLine="480" w:firstLineChars="200"/>
        <w:textAlignment w:val="auto"/>
        <w:rPr>
          <w:rFonts w:hint="default" w:ascii="仿宋_GB2312" w:hAnsi="仿宋_GB2312" w:eastAsia="仿宋_GB2312" w:cs="仿宋_GB2312"/>
          <w:bCs w:val="0"/>
          <w:kern w:val="2"/>
          <w:sz w:val="24"/>
          <w:szCs w:val="24"/>
          <w:highlight w:val="none"/>
          <w:lang w:val="en-US" w:eastAsia="zh-CN" w:bidi="ar-SA"/>
        </w:rPr>
      </w:pPr>
      <w:r>
        <w:rPr>
          <w:rFonts w:hint="eastAsia" w:ascii="仿宋_GB2312" w:eastAsia="仿宋_GB2312"/>
          <w:color w:val="auto"/>
          <w:sz w:val="24"/>
          <w:highlight w:val="none"/>
          <w:lang w:val="en-US" w:eastAsia="zh-CN"/>
        </w:rPr>
        <w:t>签订合同之日起50日历天内完成达州气电达州燃气电站二期扩建项目</w:t>
      </w:r>
      <w:r>
        <w:rPr>
          <w:rFonts w:hint="eastAsia" w:ascii="仿宋_GB2312" w:hAnsi="仿宋_GB2312" w:eastAsia="仿宋_GB2312" w:cs="仿宋_GB2312"/>
          <w:bCs w:val="0"/>
          <w:kern w:val="2"/>
          <w:sz w:val="24"/>
          <w:szCs w:val="24"/>
          <w:highlight w:val="none"/>
          <w:lang w:val="en-US" w:eastAsia="zh-CN" w:bidi="ar-SA"/>
        </w:rPr>
        <w:t>接入系统报告</w:t>
      </w:r>
      <w:r>
        <w:rPr>
          <w:rFonts w:hint="eastAsia" w:ascii="仿宋_GB2312" w:eastAsia="仿宋_GB2312"/>
          <w:color w:val="auto"/>
          <w:sz w:val="24"/>
          <w:highlight w:val="none"/>
          <w:lang w:val="en-US" w:eastAsia="zh-CN"/>
        </w:rPr>
        <w:t>初稿编制，项目纳规后30日历天内完成</w:t>
      </w:r>
      <w:r>
        <w:rPr>
          <w:rFonts w:hint="eastAsia" w:ascii="仿宋_GB2312" w:hAnsi="仿宋_GB2312" w:eastAsia="仿宋_GB2312" w:cs="仿宋_GB2312"/>
          <w:bCs w:val="0"/>
          <w:kern w:val="2"/>
          <w:sz w:val="24"/>
          <w:szCs w:val="24"/>
          <w:highlight w:val="none"/>
          <w:lang w:val="en-US" w:eastAsia="zh-CN" w:bidi="ar-SA"/>
        </w:rPr>
        <w:t>专家评审，专家评审后20日历天内修订完善报告，依据国家电网有限公司工作安排协助取得批复文件。</w:t>
      </w:r>
    </w:p>
    <w:p>
      <w:pPr>
        <w:spacing w:line="479" w:lineRule="exact"/>
        <w:ind w:firstLine="482" w:firstLineChars="200"/>
        <w:rPr>
          <w:rFonts w:hint="eastAsia" w:ascii="黑体" w:hAnsi="ˎ̥_GB2312" w:eastAsia="黑体" w:cs="宋体"/>
          <w:b/>
          <w:bCs/>
          <w:color w:val="000000"/>
          <w:kern w:val="0"/>
          <w:sz w:val="24"/>
        </w:rPr>
      </w:pPr>
      <w:r>
        <w:rPr>
          <w:rFonts w:hint="eastAsia" w:ascii="仿宋_GB2312" w:eastAsia="仿宋_GB2312"/>
          <w:b/>
          <w:color w:val="000000"/>
          <w:sz w:val="24"/>
          <w:highlight w:val="none"/>
        </w:rPr>
        <w:t>注：以上主要工作内容和完成时间，投标人可根据以往类似项目的经验在投标文件“</w:t>
      </w:r>
      <w:r>
        <w:rPr>
          <w:rFonts w:hint="eastAsia" w:ascii="仿宋_GB2312" w:eastAsia="仿宋_GB2312" w:cs="Times New Roman"/>
          <w:b/>
          <w:color w:val="000000"/>
          <w:sz w:val="24"/>
          <w:highlight w:val="none"/>
          <w:lang w:val="en-US" w:eastAsia="zh-CN"/>
        </w:rPr>
        <w:t>设计</w:t>
      </w:r>
      <w:r>
        <w:rPr>
          <w:rFonts w:hint="eastAsia" w:ascii="仿宋_GB2312" w:hAnsi="Times New Roman" w:eastAsia="仿宋_GB2312" w:cs="Times New Roman"/>
          <w:b/>
          <w:color w:val="000000"/>
          <w:sz w:val="24"/>
          <w:highlight w:val="none"/>
        </w:rPr>
        <w:t>方案</w:t>
      </w:r>
      <w:r>
        <w:rPr>
          <w:rFonts w:hint="eastAsia" w:ascii="仿宋_GB2312" w:eastAsia="仿宋_GB2312" w:cs="Times New Roman"/>
          <w:b/>
          <w:color w:val="000000"/>
          <w:sz w:val="24"/>
          <w:highlight w:val="none"/>
          <w:lang w:eastAsia="zh-CN"/>
        </w:rPr>
        <w:t>、</w:t>
      </w:r>
      <w:r>
        <w:rPr>
          <w:rFonts w:hint="eastAsia" w:ascii="仿宋_GB2312" w:eastAsia="仿宋_GB2312" w:cs="Times New Roman"/>
          <w:b/>
          <w:color w:val="000000"/>
          <w:sz w:val="24"/>
          <w:highlight w:val="none"/>
          <w:lang w:val="en-US" w:eastAsia="zh-CN"/>
        </w:rPr>
        <w:t>设计进度</w:t>
      </w:r>
      <w:r>
        <w:rPr>
          <w:rFonts w:hint="eastAsia" w:ascii="仿宋_GB2312" w:hAnsi="仿宋_GB2312" w:eastAsia="仿宋_GB2312" w:cs="仿宋_GB2312"/>
          <w:b w:val="0"/>
          <w:color w:val="000000"/>
          <w:sz w:val="24"/>
          <w:highlight w:val="none"/>
        </w:rPr>
        <w:t>”</w:t>
      </w:r>
      <w:r>
        <w:rPr>
          <w:rFonts w:hint="eastAsia" w:ascii="仿宋_GB2312" w:eastAsia="仿宋_GB2312"/>
          <w:b/>
          <w:color w:val="000000"/>
          <w:sz w:val="24"/>
          <w:highlight w:val="none"/>
        </w:rPr>
        <w:t>和《委托合同》中进行增加、细化和提前</w:t>
      </w:r>
      <w:r>
        <w:rPr>
          <w:rFonts w:hint="eastAsia" w:ascii="仿宋_GB2312" w:eastAsia="仿宋_GB2312"/>
          <w:b/>
          <w:color w:val="000000"/>
          <w:sz w:val="24"/>
          <w:highlight w:val="none"/>
          <w:lang w:eastAsia="zh-CN"/>
        </w:rPr>
        <w:t>，</w:t>
      </w:r>
      <w:r>
        <w:rPr>
          <w:rFonts w:hint="eastAsia" w:ascii="仿宋_GB2312" w:eastAsia="仿宋_GB2312"/>
          <w:b/>
          <w:color w:val="000000"/>
          <w:sz w:val="24"/>
          <w:highlight w:val="none"/>
        </w:rPr>
        <w:t>但不得降低服务质量</w:t>
      </w:r>
      <w:r>
        <w:rPr>
          <w:rFonts w:hint="eastAsia" w:ascii="仿宋_GB2312" w:eastAsia="仿宋_GB2312"/>
          <w:b/>
          <w:color w:val="000000"/>
          <w:sz w:val="24"/>
          <w:highlight w:val="none"/>
          <w:lang w:eastAsia="zh-CN"/>
        </w:rPr>
        <w:t>；</w:t>
      </w:r>
      <w:r>
        <w:rPr>
          <w:rFonts w:hint="eastAsia" w:ascii="仿宋_GB2312" w:eastAsia="仿宋_GB2312"/>
          <w:b/>
          <w:color w:val="000000"/>
          <w:sz w:val="24"/>
          <w:highlight w:val="none"/>
          <w:lang w:val="en-US" w:eastAsia="zh-CN"/>
        </w:rPr>
        <w:t>若存在不可归责于双方的情况，双方另行协商。</w:t>
      </w:r>
    </w:p>
    <w:p>
      <w:pPr>
        <w:spacing w:line="479" w:lineRule="exact"/>
        <w:ind w:firstLine="482" w:firstLineChars="200"/>
        <w:rPr>
          <w:rFonts w:ascii="黑体" w:hAnsi="ˎ̥_GB2312" w:eastAsia="黑体" w:cs="宋体"/>
          <w:b/>
          <w:bCs/>
          <w:color w:val="000000"/>
          <w:kern w:val="0"/>
          <w:sz w:val="24"/>
        </w:rPr>
      </w:pPr>
      <w:r>
        <w:rPr>
          <w:rFonts w:hint="eastAsia" w:ascii="黑体" w:hAnsi="ˎ̥_GB2312" w:eastAsia="黑体" w:cs="宋体"/>
          <w:b/>
          <w:bCs/>
          <w:color w:val="000000"/>
          <w:kern w:val="0"/>
          <w:sz w:val="24"/>
        </w:rPr>
        <w:t>四、投标人资格要求</w:t>
      </w:r>
    </w:p>
    <w:p>
      <w:pPr>
        <w:spacing w:line="56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（一）投标人应在中华人民共和国境内登记注册并具有独立法人资格，持有工商行政管理部门核发的有效企业营业执照, 具有独立承担民事责任能力，具有独立订立合同的权利</w:t>
      </w:r>
      <w:r>
        <w:rPr>
          <w:rFonts w:hint="eastAsia" w:ascii="仿宋_GB2312" w:eastAsia="仿宋_GB2312"/>
          <w:color w:val="000000"/>
          <w:sz w:val="24"/>
          <w:szCs w:val="24"/>
          <w:lang w:eastAsia="zh-CN"/>
        </w:rPr>
        <w:t>，</w:t>
      </w:r>
      <w:r>
        <w:rPr>
          <w:rFonts w:hint="eastAsia" w:ascii="仿宋_GB2312" w:eastAsia="仿宋_GB2312"/>
          <w:color w:val="000000"/>
          <w:sz w:val="24"/>
          <w:szCs w:val="24"/>
        </w:rPr>
        <w:t>连续正常营业3年以上。</w:t>
      </w:r>
    </w:p>
    <w:p>
      <w:pPr>
        <w:spacing w:line="56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w:t>
      </w:r>
      <w:r>
        <w:rPr>
          <w:rFonts w:hint="eastAsia" w:ascii="仿宋_GB2312" w:eastAsia="仿宋_GB2312"/>
          <w:color w:val="000000"/>
          <w:sz w:val="24"/>
          <w:szCs w:val="24"/>
          <w:lang w:val="en-US" w:eastAsia="zh-CN"/>
        </w:rPr>
        <w:t>二</w:t>
      </w:r>
      <w:r>
        <w:rPr>
          <w:rFonts w:hint="eastAsia" w:ascii="仿宋_GB2312" w:eastAsia="仿宋_GB2312"/>
          <w:color w:val="000000"/>
          <w:sz w:val="24"/>
          <w:szCs w:val="24"/>
        </w:rPr>
        <w:t>）法定代表人为同一人的两个及两个以上法人，母公司、全资子公司及控股公司，均不得</w:t>
      </w:r>
      <w:r>
        <w:rPr>
          <w:rFonts w:hint="eastAsia" w:ascii="仿宋_GB2312" w:eastAsia="仿宋_GB2312"/>
          <w:color w:val="000000"/>
          <w:sz w:val="24"/>
          <w:szCs w:val="24"/>
          <w:lang w:eastAsia="zh-CN"/>
        </w:rPr>
        <w:t>同时</w:t>
      </w:r>
      <w:r>
        <w:rPr>
          <w:rFonts w:hint="eastAsia" w:ascii="仿宋_GB2312" w:eastAsia="仿宋_GB2312"/>
          <w:color w:val="000000"/>
          <w:sz w:val="24"/>
          <w:szCs w:val="24"/>
        </w:rPr>
        <w:t>参加本项目投标。</w:t>
      </w:r>
    </w:p>
    <w:p>
      <w:pPr>
        <w:spacing w:line="56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w:t>
      </w:r>
      <w:r>
        <w:rPr>
          <w:rFonts w:hint="eastAsia" w:ascii="仿宋_GB2312" w:eastAsia="仿宋_GB2312"/>
          <w:color w:val="000000"/>
          <w:sz w:val="24"/>
          <w:szCs w:val="24"/>
          <w:lang w:val="en-US" w:eastAsia="zh-CN"/>
        </w:rPr>
        <w:t>三</w:t>
      </w:r>
      <w:r>
        <w:rPr>
          <w:rFonts w:hint="eastAsia" w:ascii="仿宋_GB2312" w:eastAsia="仿宋_GB2312"/>
          <w:color w:val="000000"/>
          <w:sz w:val="24"/>
          <w:szCs w:val="24"/>
        </w:rPr>
        <w:t>）投标人应满足招标文件对投标人的要求，并且不属于中国国家法律法规规定和有关管理部门所界定的具有腐败、欺诈等行为的不合格的投标人。</w:t>
      </w:r>
    </w:p>
    <w:p>
      <w:pPr>
        <w:spacing w:line="56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w:t>
      </w:r>
      <w:r>
        <w:rPr>
          <w:rFonts w:hint="eastAsia" w:ascii="仿宋_GB2312" w:eastAsia="仿宋_GB2312"/>
          <w:color w:val="000000"/>
          <w:sz w:val="24"/>
          <w:szCs w:val="24"/>
          <w:lang w:val="en-US" w:eastAsia="zh-CN"/>
        </w:rPr>
        <w:t>四</w:t>
      </w:r>
      <w:r>
        <w:rPr>
          <w:rFonts w:hint="eastAsia" w:ascii="仿宋_GB2312" w:eastAsia="仿宋_GB2312"/>
          <w:color w:val="000000"/>
          <w:sz w:val="24"/>
          <w:szCs w:val="24"/>
        </w:rPr>
        <w:t>）本项目不接受联合体投标。</w:t>
      </w:r>
    </w:p>
    <w:p>
      <w:pPr>
        <w:spacing w:line="56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w:t>
      </w:r>
      <w:r>
        <w:rPr>
          <w:rFonts w:hint="eastAsia" w:ascii="仿宋_GB2312" w:eastAsia="仿宋_GB2312"/>
          <w:color w:val="000000"/>
          <w:sz w:val="24"/>
          <w:szCs w:val="24"/>
          <w:lang w:val="en-US" w:eastAsia="zh-CN"/>
        </w:rPr>
        <w:t>五</w:t>
      </w:r>
      <w:r>
        <w:rPr>
          <w:rFonts w:hint="eastAsia" w:ascii="仿宋_GB2312" w:eastAsia="仿宋_GB2312"/>
          <w:color w:val="000000"/>
          <w:sz w:val="24"/>
          <w:szCs w:val="24"/>
        </w:rPr>
        <w:t>）</w:t>
      </w:r>
      <w:r>
        <w:rPr>
          <w:rFonts w:hint="eastAsia" w:ascii="仿宋_GB2312" w:eastAsia="仿宋_GB2312"/>
          <w:color w:val="000000"/>
          <w:sz w:val="24"/>
          <w:szCs w:val="24"/>
          <w:highlight w:val="none"/>
        </w:rPr>
        <w:t>投标人须具有住建部门颁发的工程设计综合</w:t>
      </w:r>
      <w:r>
        <w:rPr>
          <w:rFonts w:hint="eastAsia" w:ascii="仿宋_GB2312" w:eastAsia="仿宋_GB2312"/>
          <w:color w:val="000000"/>
          <w:sz w:val="24"/>
          <w:szCs w:val="24"/>
          <w:highlight w:val="none"/>
          <w:lang w:val="en-US" w:eastAsia="zh-CN"/>
        </w:rPr>
        <w:t>甲</w:t>
      </w:r>
      <w:r>
        <w:rPr>
          <w:rFonts w:hint="eastAsia" w:ascii="仿宋_GB2312" w:eastAsia="仿宋_GB2312"/>
          <w:color w:val="000000"/>
          <w:sz w:val="24"/>
          <w:szCs w:val="24"/>
          <w:highlight w:val="none"/>
        </w:rPr>
        <w:t>级资质，须提供有效期内的资质证书扫描件。</w:t>
      </w:r>
    </w:p>
    <w:p>
      <w:pPr>
        <w:spacing w:line="56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w:t>
      </w:r>
      <w:r>
        <w:rPr>
          <w:rFonts w:hint="eastAsia" w:ascii="仿宋_GB2312" w:eastAsia="仿宋_GB2312"/>
          <w:color w:val="000000"/>
          <w:sz w:val="24"/>
          <w:szCs w:val="24"/>
          <w:lang w:val="en-US" w:eastAsia="zh-CN"/>
        </w:rPr>
        <w:t>六</w:t>
      </w:r>
      <w:r>
        <w:rPr>
          <w:rFonts w:hint="eastAsia" w:ascii="仿宋_GB2312" w:eastAsia="仿宋_GB2312"/>
          <w:color w:val="000000"/>
          <w:sz w:val="24"/>
          <w:szCs w:val="24"/>
        </w:rPr>
        <w:t>）</w:t>
      </w:r>
      <w:r>
        <w:rPr>
          <w:rFonts w:hint="eastAsia" w:ascii="仿宋_GB2312" w:eastAsia="仿宋_GB2312"/>
          <w:color w:val="000000"/>
          <w:sz w:val="24"/>
          <w:szCs w:val="24"/>
          <w:highlight w:val="none"/>
        </w:rPr>
        <w:t>投标人须通过ISO9000质量管理体系认证、ISO14001环境管理体系认证、GB/T28001职业健康安全管理体系认证。</w:t>
      </w:r>
    </w:p>
    <w:p>
      <w:pPr>
        <w:spacing w:line="560" w:lineRule="exact"/>
        <w:ind w:firstLine="480" w:firstLineChars="200"/>
        <w:rPr>
          <w:sz w:val="24"/>
          <w:szCs w:val="24"/>
          <w:highlight w:val="none"/>
        </w:rPr>
      </w:pPr>
      <w:r>
        <w:rPr>
          <w:rFonts w:hint="eastAsia" w:ascii="仿宋_GB2312" w:eastAsia="仿宋_GB2312"/>
          <w:color w:val="000000"/>
          <w:sz w:val="24"/>
          <w:szCs w:val="24"/>
          <w:highlight w:val="none"/>
        </w:rPr>
        <w:t>（</w:t>
      </w:r>
      <w:r>
        <w:rPr>
          <w:rFonts w:hint="eastAsia" w:ascii="仿宋_GB2312" w:eastAsia="仿宋_GB2312"/>
          <w:color w:val="000000"/>
          <w:sz w:val="24"/>
          <w:szCs w:val="24"/>
          <w:highlight w:val="none"/>
          <w:lang w:val="en-US" w:eastAsia="zh-CN"/>
        </w:rPr>
        <w:t>七</w:t>
      </w:r>
      <w:r>
        <w:rPr>
          <w:rFonts w:hint="eastAsia" w:ascii="仿宋_GB2312" w:eastAsia="仿宋_GB2312"/>
          <w:color w:val="000000"/>
          <w:sz w:val="24"/>
          <w:szCs w:val="24"/>
          <w:highlight w:val="none"/>
        </w:rPr>
        <w:t>）投标人</w:t>
      </w:r>
      <w:r>
        <w:rPr>
          <w:rFonts w:hint="eastAsia" w:ascii="仿宋_GB2312" w:eastAsia="仿宋_GB2312"/>
          <w:color w:val="000000"/>
          <w:sz w:val="24"/>
          <w:szCs w:val="24"/>
          <w:highlight w:val="none"/>
          <w:lang w:val="en-US" w:eastAsia="zh-CN"/>
        </w:rPr>
        <w:t>须提供</w:t>
      </w:r>
      <w:r>
        <w:rPr>
          <w:rFonts w:hint="eastAsia" w:ascii="仿宋_GB2312" w:eastAsia="仿宋_GB2312"/>
          <w:color w:val="000000"/>
          <w:sz w:val="24"/>
          <w:szCs w:val="24"/>
          <w:highlight w:val="none"/>
        </w:rPr>
        <w:t>近</w:t>
      </w:r>
      <w:r>
        <w:rPr>
          <w:rFonts w:hint="eastAsia" w:ascii="仿宋_GB2312" w:eastAsia="仿宋_GB2312"/>
          <w:color w:val="000000"/>
          <w:sz w:val="24"/>
          <w:szCs w:val="24"/>
          <w:highlight w:val="none"/>
          <w:lang w:val="en-US" w:eastAsia="zh-CN"/>
        </w:rPr>
        <w:t>五</w:t>
      </w:r>
      <w:r>
        <w:rPr>
          <w:rFonts w:hint="eastAsia" w:ascii="仿宋_GB2312" w:eastAsia="仿宋_GB2312"/>
          <w:color w:val="000000"/>
          <w:sz w:val="24"/>
          <w:szCs w:val="24"/>
          <w:highlight w:val="none"/>
        </w:rPr>
        <w:t>年应独立承担过</w:t>
      </w:r>
      <w:r>
        <w:rPr>
          <w:rFonts w:hint="eastAsia" w:ascii="仿宋_GB2312" w:eastAsia="仿宋_GB2312"/>
          <w:color w:val="000000"/>
          <w:sz w:val="24"/>
          <w:szCs w:val="24"/>
          <w:highlight w:val="none"/>
          <w:lang w:val="en-US" w:eastAsia="zh-CN"/>
        </w:rPr>
        <w:t>35</w:t>
      </w:r>
      <w:r>
        <w:rPr>
          <w:rFonts w:hint="eastAsia" w:ascii="仿宋_GB2312" w:eastAsia="仿宋_GB2312"/>
          <w:color w:val="000000"/>
          <w:sz w:val="24"/>
          <w:szCs w:val="24"/>
          <w:highlight w:val="none"/>
        </w:rPr>
        <w:t>0MW或以上规模的发电项目接入系统设计报告编制业绩</w:t>
      </w:r>
      <w:r>
        <w:rPr>
          <w:rFonts w:hint="eastAsia" w:ascii="仿宋_GB2312" w:eastAsia="仿宋_GB2312"/>
          <w:color w:val="000000"/>
          <w:sz w:val="24"/>
          <w:szCs w:val="24"/>
          <w:highlight w:val="none"/>
          <w:lang w:val="en-US" w:eastAsia="zh-CN"/>
        </w:rPr>
        <w:t>不少于1个</w:t>
      </w:r>
      <w:r>
        <w:rPr>
          <w:rFonts w:hint="eastAsia" w:ascii="仿宋_GB2312" w:eastAsia="仿宋_GB2312"/>
          <w:color w:val="000000"/>
          <w:sz w:val="24"/>
          <w:szCs w:val="24"/>
          <w:highlight w:val="none"/>
        </w:rPr>
        <w:t>(必须提供合同扫描件，合同扫描件应包括封面、签字页及能显示项目名称和内容部分，否则视同没提供该业绩)。</w:t>
      </w:r>
    </w:p>
    <w:p>
      <w:pPr>
        <w:spacing w:line="56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w:t>
      </w:r>
      <w:r>
        <w:rPr>
          <w:rFonts w:hint="eastAsia" w:ascii="仿宋_GB2312" w:eastAsia="仿宋_GB2312"/>
          <w:color w:val="000000"/>
          <w:sz w:val="24"/>
          <w:szCs w:val="24"/>
          <w:lang w:val="en-US" w:eastAsia="zh-CN"/>
        </w:rPr>
        <w:t>八</w:t>
      </w:r>
      <w:r>
        <w:rPr>
          <w:rFonts w:hint="eastAsia" w:ascii="仿宋_GB2312" w:eastAsia="仿宋_GB2312"/>
          <w:color w:val="000000"/>
          <w:sz w:val="24"/>
          <w:szCs w:val="24"/>
        </w:rPr>
        <w:t>）投标人及其总分支机构具有良好的财务状况和商业信誉，未被“信用中国”网站(www.creditchina.gov.cn)列入失信被执行人、重大税收违法案件当事人名单、政府采购严重违法失信行为记录名单（需提供网站相应截图）；近3年内至今在招标、比选活动、合同履行、现场服务过程中，未受到国家及企业投诉和公开通报批评；近3年提供的中介服务未因重大执业质量等问题受到四川省国资委通报。</w:t>
      </w:r>
    </w:p>
    <w:p>
      <w:pPr>
        <w:spacing w:line="56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w:t>
      </w:r>
      <w:r>
        <w:rPr>
          <w:rFonts w:hint="eastAsia" w:ascii="仿宋_GB2312" w:eastAsia="仿宋_GB2312"/>
          <w:color w:val="000000"/>
          <w:sz w:val="24"/>
          <w:szCs w:val="24"/>
          <w:lang w:val="en-US" w:eastAsia="zh-CN"/>
        </w:rPr>
        <w:t>九</w:t>
      </w:r>
      <w:r>
        <w:rPr>
          <w:rFonts w:hint="eastAsia" w:ascii="仿宋_GB2312" w:eastAsia="仿宋_GB2312"/>
          <w:color w:val="000000"/>
          <w:sz w:val="24"/>
          <w:szCs w:val="24"/>
        </w:rPr>
        <w:t>）不得存在下列情形之一：开标日前三年内存在骗取成交或严重违规、违约问题；开标日前两年内存在违反国家有关法律的行为；投标人处于被责令停业、财产被冻结、接管、破产状态。</w:t>
      </w:r>
    </w:p>
    <w:p>
      <w:pPr>
        <w:spacing w:line="560" w:lineRule="exact"/>
        <w:ind w:firstLine="480" w:firstLineChars="200"/>
        <w:rPr>
          <w:rFonts w:hint="eastAsia" w:ascii="黑体" w:hAnsi="黑体" w:eastAsia="黑体" w:cs="黑体"/>
          <w:sz w:val="24"/>
          <w:szCs w:val="24"/>
          <w:lang w:eastAsia="zh-CN"/>
        </w:rPr>
      </w:pPr>
      <w:r>
        <w:rPr>
          <w:rFonts w:hint="eastAsia" w:ascii="仿宋_GB2312" w:eastAsia="仿宋_GB2312"/>
          <w:color w:val="000000"/>
          <w:sz w:val="24"/>
          <w:szCs w:val="24"/>
        </w:rPr>
        <w:t>（</w:t>
      </w:r>
      <w:r>
        <w:rPr>
          <w:rFonts w:hint="eastAsia" w:ascii="仿宋_GB2312" w:eastAsia="仿宋_GB2312"/>
          <w:color w:val="000000"/>
          <w:sz w:val="24"/>
          <w:szCs w:val="24"/>
          <w:lang w:val="en-US" w:eastAsia="zh-CN"/>
        </w:rPr>
        <w:t>十</w:t>
      </w:r>
      <w:r>
        <w:rPr>
          <w:rFonts w:hint="eastAsia" w:ascii="仿宋_GB2312" w:eastAsia="仿宋_GB2312"/>
          <w:color w:val="000000"/>
          <w:sz w:val="24"/>
          <w:szCs w:val="24"/>
        </w:rPr>
        <w:t>）法律法规对合格投标人的其他要求、规定。</w:t>
      </w:r>
    </w:p>
    <w:p>
      <w:pPr>
        <w:spacing w:line="479" w:lineRule="exact"/>
        <w:ind w:firstLine="480" w:firstLineChars="200"/>
        <w:rPr>
          <w:rFonts w:ascii="黑体" w:hAnsi="黑体" w:eastAsia="黑体" w:cs="宋体"/>
          <w:color w:val="000000"/>
          <w:kern w:val="0"/>
          <w:sz w:val="24"/>
        </w:rPr>
      </w:pPr>
      <w:r>
        <w:rPr>
          <w:rFonts w:hint="eastAsia" w:ascii="黑体" w:hAnsi="黑体" w:eastAsia="黑体" w:cs="宋体"/>
          <w:color w:val="000000"/>
          <w:kern w:val="0"/>
          <w:sz w:val="24"/>
        </w:rPr>
        <w:t>五、最高投标限价：</w:t>
      </w:r>
      <w:r>
        <w:rPr>
          <w:rFonts w:hint="eastAsia" w:ascii="黑体" w:hAnsi="黑体" w:eastAsia="黑体" w:cs="宋体"/>
          <w:b w:val="0"/>
          <w:bCs w:val="0"/>
          <w:color w:val="000000"/>
          <w:kern w:val="0"/>
          <w:sz w:val="24"/>
          <w:highlight w:val="none"/>
          <w:lang w:val="en-US" w:eastAsia="zh-CN"/>
        </w:rPr>
        <w:t>120</w:t>
      </w:r>
      <w:r>
        <w:rPr>
          <w:rFonts w:hint="eastAsia" w:ascii="黑体" w:hAnsi="黑体" w:eastAsia="黑体" w:cs="宋体"/>
          <w:color w:val="000000"/>
          <w:kern w:val="0"/>
          <w:sz w:val="24"/>
        </w:rPr>
        <w:t>万元人民币（含税包干</w:t>
      </w:r>
      <w:r>
        <w:rPr>
          <w:rFonts w:hint="eastAsia" w:ascii="黑体" w:hAnsi="黑体" w:eastAsia="黑体" w:cs="宋体"/>
          <w:color w:val="000000"/>
          <w:kern w:val="0"/>
          <w:sz w:val="24"/>
          <w:lang w:val="en-US" w:eastAsia="zh-CN"/>
        </w:rPr>
        <w:t>总</w:t>
      </w:r>
      <w:r>
        <w:rPr>
          <w:rFonts w:hint="eastAsia" w:ascii="黑体" w:hAnsi="黑体" w:eastAsia="黑体" w:cs="宋体"/>
          <w:color w:val="000000"/>
          <w:kern w:val="0"/>
          <w:sz w:val="24"/>
        </w:rPr>
        <w:t>价）</w:t>
      </w:r>
    </w:p>
    <w:p>
      <w:pPr>
        <w:spacing w:line="479" w:lineRule="exact"/>
        <w:ind w:firstLine="480" w:firstLineChars="200"/>
        <w:rPr>
          <w:rFonts w:ascii="黑体" w:hAnsi="黑体" w:eastAsia="黑体" w:cs="宋体"/>
          <w:color w:val="000000"/>
          <w:kern w:val="0"/>
          <w:sz w:val="24"/>
        </w:rPr>
      </w:pPr>
      <w:r>
        <w:rPr>
          <w:rFonts w:hint="eastAsia" w:ascii="黑体" w:hAnsi="黑体" w:eastAsia="黑体" w:cs="宋体"/>
          <w:color w:val="000000"/>
          <w:kern w:val="0"/>
          <w:sz w:val="24"/>
        </w:rPr>
        <w:t>六、招标文件的获取</w:t>
      </w:r>
    </w:p>
    <w:p>
      <w:pPr>
        <w:spacing w:line="479" w:lineRule="exact"/>
        <w:ind w:firstLine="360" w:firstLineChars="150"/>
        <w:rPr>
          <w:rFonts w:hint="eastAsia" w:ascii="仿宋_GB2312" w:eastAsia="仿宋_GB2312"/>
          <w:color w:val="000000"/>
          <w:sz w:val="24"/>
        </w:rPr>
      </w:pPr>
      <w:r>
        <w:rPr>
          <w:rFonts w:hint="eastAsia" w:ascii="仿宋_GB2312" w:eastAsia="仿宋_GB2312"/>
          <w:color w:val="000000"/>
          <w:sz w:val="24"/>
        </w:rPr>
        <w:t>（一）请于202</w:t>
      </w:r>
      <w:r>
        <w:rPr>
          <w:rFonts w:hint="eastAsia" w:ascii="仿宋_GB2312" w:eastAsia="仿宋_GB2312"/>
          <w:color w:val="000000"/>
          <w:sz w:val="24"/>
          <w:lang w:val="en-US" w:eastAsia="zh-CN"/>
        </w:rPr>
        <w:t>2</w:t>
      </w:r>
      <w:r>
        <w:rPr>
          <w:rFonts w:hint="eastAsia" w:ascii="仿宋_GB2312" w:eastAsia="仿宋_GB2312"/>
          <w:color w:val="000000"/>
          <w:sz w:val="24"/>
        </w:rPr>
        <w:t>年【</w:t>
      </w:r>
      <w:r>
        <w:rPr>
          <w:rFonts w:hint="eastAsia" w:ascii="仿宋_GB2312" w:eastAsia="仿宋_GB2312"/>
          <w:color w:val="000000"/>
          <w:sz w:val="24"/>
          <w:lang w:val="en-US" w:eastAsia="zh-CN"/>
        </w:rPr>
        <w:t>5</w:t>
      </w:r>
      <w:r>
        <w:rPr>
          <w:rFonts w:hint="eastAsia" w:ascii="仿宋_GB2312" w:eastAsia="仿宋_GB2312"/>
          <w:color w:val="000000"/>
          <w:sz w:val="24"/>
        </w:rPr>
        <w:t>】月【</w:t>
      </w:r>
      <w:r>
        <w:rPr>
          <w:rFonts w:hint="eastAsia" w:ascii="仿宋_GB2312" w:eastAsia="仿宋_GB2312"/>
          <w:color w:val="000000"/>
          <w:sz w:val="24"/>
          <w:lang w:val="en-US" w:eastAsia="zh-CN"/>
        </w:rPr>
        <w:t>6</w:t>
      </w:r>
      <w:r>
        <w:rPr>
          <w:rFonts w:hint="eastAsia" w:ascii="仿宋_GB2312" w:eastAsia="仿宋_GB2312"/>
          <w:color w:val="000000"/>
          <w:sz w:val="24"/>
        </w:rPr>
        <w:t>】日-【</w:t>
      </w:r>
      <w:r>
        <w:rPr>
          <w:rFonts w:hint="eastAsia" w:ascii="仿宋_GB2312" w:eastAsia="仿宋_GB2312"/>
          <w:color w:val="000000"/>
          <w:sz w:val="24"/>
          <w:lang w:val="en-US" w:eastAsia="zh-CN"/>
        </w:rPr>
        <w:t>5</w:t>
      </w:r>
      <w:r>
        <w:rPr>
          <w:rFonts w:hint="eastAsia" w:ascii="仿宋_GB2312" w:eastAsia="仿宋_GB2312"/>
          <w:color w:val="000000"/>
          <w:sz w:val="24"/>
        </w:rPr>
        <w:t>】月【</w:t>
      </w:r>
      <w:r>
        <w:rPr>
          <w:rFonts w:hint="eastAsia" w:ascii="仿宋_GB2312" w:eastAsia="仿宋_GB2312"/>
          <w:color w:val="000000"/>
          <w:sz w:val="24"/>
          <w:lang w:val="en-US" w:eastAsia="zh-CN"/>
        </w:rPr>
        <w:t>10</w:t>
      </w:r>
      <w:r>
        <w:rPr>
          <w:rFonts w:hint="eastAsia" w:ascii="仿宋_GB2312" w:eastAsia="仿宋_GB2312"/>
          <w:color w:val="000000"/>
          <w:sz w:val="24"/>
        </w:rPr>
        <w:t>】日，</w:t>
      </w:r>
      <w:r>
        <w:rPr>
          <w:rFonts w:hint="eastAsia" w:ascii="仿宋_GB2312" w:eastAsia="仿宋_GB2312"/>
          <w:color w:val="000000"/>
          <w:sz w:val="24"/>
          <w:highlight w:val="none"/>
        </w:rPr>
        <w:t>上午9:</w:t>
      </w:r>
      <w:r>
        <w:rPr>
          <w:rFonts w:hint="eastAsia" w:ascii="仿宋_GB2312" w:eastAsia="仿宋_GB2312"/>
          <w:color w:val="000000"/>
          <w:sz w:val="24"/>
          <w:highlight w:val="none"/>
          <w:lang w:val="en-US" w:eastAsia="zh-CN"/>
        </w:rPr>
        <w:t>3</w:t>
      </w:r>
      <w:r>
        <w:rPr>
          <w:rFonts w:hint="eastAsia" w:ascii="仿宋_GB2312" w:eastAsia="仿宋_GB2312"/>
          <w:color w:val="000000"/>
          <w:sz w:val="24"/>
          <w:highlight w:val="none"/>
        </w:rPr>
        <w:t>0-12：00时</w:t>
      </w:r>
      <w:r>
        <w:rPr>
          <w:rFonts w:hint="eastAsia" w:ascii="仿宋_GB2312" w:eastAsia="仿宋_GB2312"/>
          <w:color w:val="000000"/>
          <w:sz w:val="24"/>
        </w:rPr>
        <w:t>、下午14：00－17:00时，在</w:t>
      </w:r>
      <w:r>
        <w:rPr>
          <w:rFonts w:hint="eastAsia" w:ascii="仿宋_GB2312" w:eastAsia="仿宋_GB2312"/>
          <w:color w:val="000000"/>
          <w:sz w:val="24"/>
          <w:lang w:eastAsia="zh-CN"/>
        </w:rPr>
        <w:t>达州市高新区斌郎街道桥坝社区达州气电</w:t>
      </w:r>
      <w:r>
        <w:rPr>
          <w:rFonts w:hint="eastAsia" w:ascii="仿宋_GB2312" w:eastAsia="仿宋_GB2312"/>
          <w:color w:val="000000"/>
          <w:sz w:val="24"/>
        </w:rPr>
        <w:t>现场领取招标文件电子版（请自备U盘）；或通过电子邮件形式，在【</w:t>
      </w:r>
      <w:r>
        <w:rPr>
          <w:rFonts w:hint="eastAsia" w:ascii="仿宋_GB2312" w:eastAsia="仿宋_GB2312"/>
          <w:color w:val="000000"/>
          <w:sz w:val="24"/>
          <w:lang w:val="en-US" w:eastAsia="zh-CN"/>
        </w:rPr>
        <w:t>5</w:t>
      </w:r>
      <w:r>
        <w:rPr>
          <w:rFonts w:hint="eastAsia" w:ascii="仿宋_GB2312" w:eastAsia="仿宋_GB2312"/>
          <w:color w:val="000000"/>
          <w:sz w:val="24"/>
        </w:rPr>
        <w:t>】月【</w:t>
      </w:r>
      <w:r>
        <w:rPr>
          <w:rFonts w:hint="eastAsia" w:ascii="仿宋_GB2312" w:eastAsia="仿宋_GB2312"/>
          <w:color w:val="000000"/>
          <w:sz w:val="24"/>
          <w:lang w:val="en-US" w:eastAsia="zh-CN"/>
        </w:rPr>
        <w:t>6</w:t>
      </w:r>
      <w:r>
        <w:rPr>
          <w:rFonts w:hint="eastAsia" w:ascii="仿宋_GB2312" w:eastAsia="仿宋_GB2312"/>
          <w:color w:val="000000"/>
          <w:sz w:val="24"/>
        </w:rPr>
        <w:t>】</w:t>
      </w:r>
      <w:r>
        <w:rPr>
          <w:rFonts w:hint="eastAsia" w:ascii="仿宋_GB2312" w:eastAsia="仿宋_GB2312"/>
          <w:color w:val="000000"/>
          <w:sz w:val="24"/>
          <w:lang w:val="en-US" w:eastAsia="zh-CN"/>
        </w:rPr>
        <w:t>日</w:t>
      </w:r>
      <w:r>
        <w:rPr>
          <w:rFonts w:hint="eastAsia" w:ascii="仿宋_GB2312" w:eastAsia="仿宋_GB2312"/>
          <w:color w:val="000000"/>
          <w:sz w:val="24"/>
        </w:rPr>
        <w:t>上</w:t>
      </w:r>
      <w:r>
        <w:rPr>
          <w:rFonts w:hint="eastAsia" w:ascii="仿宋_GB2312" w:eastAsia="仿宋_GB2312"/>
          <w:color w:val="auto"/>
          <w:sz w:val="24"/>
        </w:rPr>
        <w:t>午</w:t>
      </w:r>
      <w:r>
        <w:rPr>
          <w:rFonts w:hint="eastAsia" w:ascii="仿宋_GB2312" w:eastAsia="仿宋_GB2312"/>
          <w:color w:val="auto"/>
          <w:sz w:val="24"/>
          <w:highlight w:val="none"/>
        </w:rPr>
        <w:t>9:00-【</w:t>
      </w: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10</w:t>
      </w:r>
      <w:r>
        <w:rPr>
          <w:rFonts w:hint="eastAsia" w:ascii="仿宋_GB2312" w:eastAsia="仿宋_GB2312"/>
          <w:color w:val="auto"/>
          <w:sz w:val="24"/>
          <w:highlight w:val="none"/>
        </w:rPr>
        <w:t>】日下午17:00时</w:t>
      </w:r>
      <w:r>
        <w:rPr>
          <w:rFonts w:hint="eastAsia" w:ascii="仿宋_GB2312" w:eastAsia="仿宋_GB2312"/>
          <w:color w:val="0000FF"/>
          <w:sz w:val="24"/>
          <w:highlight w:val="none"/>
        </w:rPr>
        <w:t>，</w:t>
      </w:r>
      <w:r>
        <w:rPr>
          <w:rFonts w:hint="eastAsia" w:ascii="仿宋_GB2312" w:eastAsia="仿宋_GB2312"/>
          <w:color w:val="000000"/>
          <w:sz w:val="24"/>
        </w:rPr>
        <w:t>向本公告第九条所列联系人邮箱发送报名和申请领取招标文件的邮件，并附下述第（二）点所列材料扫描件，报名申请通过审核后，招标文件电子版将以邮件方式发送。报名领取招标文件企业未在规定的时间和地点领取招标文件或发送邮件报名的、报名材料不符合要求的，投标人将被拒绝参加投标。</w:t>
      </w:r>
    </w:p>
    <w:p>
      <w:pPr>
        <w:spacing w:line="479" w:lineRule="exact"/>
        <w:ind w:firstLine="360" w:firstLineChars="150"/>
        <w:rPr>
          <w:rFonts w:hint="eastAsia" w:ascii="仿宋_GB2312" w:eastAsia="仿宋_GB2312"/>
          <w:color w:val="000000"/>
          <w:sz w:val="24"/>
        </w:rPr>
      </w:pPr>
      <w:r>
        <w:rPr>
          <w:rFonts w:hint="eastAsia" w:ascii="仿宋_GB2312" w:eastAsia="仿宋_GB2312"/>
          <w:color w:val="000000"/>
          <w:sz w:val="24"/>
          <w:lang w:val="en-US" w:eastAsia="zh-CN"/>
        </w:rPr>
        <w:t>（二）非比选人合格供应商库的申请人需填写预选合格供应商基本情况表，经招标人审核通过后方能进入投标文件评审。</w:t>
      </w:r>
    </w:p>
    <w:p>
      <w:pPr>
        <w:spacing w:line="479" w:lineRule="exact"/>
        <w:ind w:firstLine="482" w:firstLineChars="200"/>
        <w:rPr>
          <w:rFonts w:ascii="楷体" w:hAnsi="楷体" w:eastAsia="楷体"/>
          <w:b/>
          <w:color w:val="000000"/>
          <w:sz w:val="24"/>
        </w:rPr>
      </w:pPr>
      <w:r>
        <w:rPr>
          <w:rFonts w:hint="eastAsia" w:ascii="楷体" w:hAnsi="楷体" w:eastAsia="楷体"/>
          <w:b/>
          <w:color w:val="000000"/>
          <w:sz w:val="24"/>
        </w:rPr>
        <w:t>（二）领取招标文件需提交的材料及要求：</w:t>
      </w:r>
    </w:p>
    <w:p>
      <w:pPr>
        <w:spacing w:line="479" w:lineRule="exact"/>
        <w:ind w:firstLine="480" w:firstLineChars="200"/>
        <w:rPr>
          <w:rFonts w:ascii="仿宋_GB2312" w:eastAsia="仿宋_GB2312"/>
          <w:color w:val="000000"/>
          <w:sz w:val="24"/>
        </w:rPr>
      </w:pPr>
      <w:r>
        <w:rPr>
          <w:rFonts w:hint="eastAsia" w:ascii="仿宋_GB2312" w:eastAsia="仿宋_GB2312"/>
          <w:color w:val="000000"/>
          <w:sz w:val="24"/>
        </w:rPr>
        <w:t>1.企业营业执照副本加盖鲜章的复印件（扫描件）；</w:t>
      </w:r>
    </w:p>
    <w:p>
      <w:pPr>
        <w:spacing w:line="479" w:lineRule="exact"/>
        <w:ind w:firstLine="480" w:firstLineChars="200"/>
        <w:rPr>
          <w:rFonts w:ascii="仿宋_GB2312" w:eastAsia="仿宋_GB2312"/>
          <w:color w:val="000000"/>
          <w:sz w:val="24"/>
        </w:rPr>
      </w:pPr>
      <w:r>
        <w:rPr>
          <w:rFonts w:hint="eastAsia" w:ascii="仿宋_GB2312" w:eastAsia="仿宋_GB2312"/>
          <w:color w:val="000000"/>
          <w:sz w:val="24"/>
        </w:rPr>
        <w:t>2.报名单位授权书加盖鲜章的原件（扫描件），经办人身份证原件和加盖鲜章的复印件（扫描件）；</w:t>
      </w:r>
    </w:p>
    <w:p>
      <w:pPr>
        <w:spacing w:line="479" w:lineRule="exact"/>
        <w:ind w:firstLine="480" w:firstLineChars="200"/>
        <w:rPr>
          <w:rFonts w:hint="default" w:ascii="仿宋_GB2312" w:eastAsia="仿宋_GB2312"/>
          <w:color w:val="000000"/>
          <w:sz w:val="24"/>
          <w:lang w:val="en-US" w:eastAsia="zh-CN"/>
        </w:rPr>
      </w:pPr>
      <w:r>
        <w:rPr>
          <w:rFonts w:hint="eastAsia" w:ascii="仿宋_GB2312" w:eastAsia="仿宋_GB2312"/>
          <w:color w:val="000000"/>
          <w:sz w:val="24"/>
        </w:rPr>
        <w:t>3.领取和获取招标文件的单位应与投标单位总分支机构名称、公章等信息完全一致，否则投标人将被拒绝参加投标。</w:t>
      </w:r>
    </w:p>
    <w:p>
      <w:pPr>
        <w:spacing w:line="479" w:lineRule="exact"/>
        <w:ind w:firstLine="480" w:firstLineChars="200"/>
        <w:rPr>
          <w:rFonts w:ascii="黑体" w:hAnsi="ˎ̥_GB2312" w:eastAsia="黑体" w:cs="宋体"/>
          <w:color w:val="000000"/>
          <w:kern w:val="0"/>
          <w:sz w:val="24"/>
        </w:rPr>
      </w:pPr>
      <w:r>
        <w:rPr>
          <w:rFonts w:hint="eastAsia" w:ascii="黑体" w:hAnsi="ˎ̥_GB2312" w:eastAsia="黑体" w:cs="宋体"/>
          <w:color w:val="000000"/>
          <w:kern w:val="0"/>
          <w:sz w:val="24"/>
        </w:rPr>
        <w:t>七、投标文件递交及开启</w:t>
      </w:r>
    </w:p>
    <w:p>
      <w:pPr>
        <w:spacing w:line="479" w:lineRule="exact"/>
        <w:ind w:firstLine="482" w:firstLineChars="200"/>
        <w:rPr>
          <w:rFonts w:hint="eastAsia" w:ascii="仿宋_GB2312" w:eastAsia="仿宋_GB2312"/>
          <w:bCs/>
          <w:color w:val="000000"/>
          <w:sz w:val="24"/>
          <w:highlight w:val="none"/>
          <w:lang w:val="en-US" w:eastAsia="zh-CN"/>
        </w:rPr>
      </w:pPr>
      <w:r>
        <w:rPr>
          <w:rFonts w:hint="eastAsia" w:ascii="仿宋_GB2312" w:eastAsia="仿宋_GB2312"/>
          <w:b/>
          <w:bCs/>
          <w:color w:val="000000"/>
          <w:sz w:val="24"/>
        </w:rPr>
        <w:t>（一）递交截止时间（即开标时间）：</w:t>
      </w:r>
      <w:r>
        <w:rPr>
          <w:rFonts w:hint="eastAsia" w:ascii="仿宋_GB2312" w:eastAsia="仿宋_GB2312"/>
          <w:b/>
          <w:bCs/>
          <w:color w:val="000000"/>
          <w:sz w:val="24"/>
          <w:lang w:eastAsia="zh-CN"/>
        </w:rPr>
        <w:t>202</w:t>
      </w:r>
      <w:r>
        <w:rPr>
          <w:rFonts w:hint="eastAsia" w:ascii="仿宋_GB2312" w:eastAsia="仿宋_GB2312"/>
          <w:b/>
          <w:bCs/>
          <w:color w:val="000000"/>
          <w:sz w:val="24"/>
          <w:lang w:val="en-US" w:eastAsia="zh-CN"/>
        </w:rPr>
        <w:t>2</w:t>
      </w:r>
      <w:r>
        <w:rPr>
          <w:rFonts w:hint="eastAsia" w:ascii="仿宋_GB2312" w:eastAsia="仿宋_GB2312"/>
          <w:b/>
          <w:bCs/>
          <w:color w:val="000000"/>
          <w:sz w:val="24"/>
          <w:lang w:eastAsia="zh-CN"/>
        </w:rPr>
        <w:t>年</w:t>
      </w:r>
      <w:r>
        <w:rPr>
          <w:rFonts w:hint="eastAsia" w:ascii="仿宋_GB2312" w:eastAsia="仿宋_GB2312"/>
          <w:b/>
          <w:bCs/>
          <w:color w:val="000000"/>
          <w:sz w:val="24"/>
          <w:highlight w:val="none"/>
          <w:lang w:val="en-US" w:eastAsia="zh-CN"/>
        </w:rPr>
        <w:t>5</w:t>
      </w:r>
      <w:r>
        <w:rPr>
          <w:rFonts w:hint="eastAsia" w:ascii="仿宋_GB2312" w:eastAsia="仿宋_GB2312"/>
          <w:b/>
          <w:bCs/>
          <w:color w:val="000000"/>
          <w:sz w:val="24"/>
        </w:rPr>
        <w:t>月</w:t>
      </w:r>
      <w:r>
        <w:rPr>
          <w:rFonts w:hint="eastAsia" w:ascii="仿宋_GB2312" w:eastAsia="仿宋_GB2312"/>
          <w:b/>
          <w:bCs/>
          <w:color w:val="000000"/>
          <w:sz w:val="24"/>
          <w:lang w:val="en-US" w:eastAsia="zh-CN"/>
        </w:rPr>
        <w:t>26日</w:t>
      </w:r>
      <w:r>
        <w:rPr>
          <w:rFonts w:hint="eastAsia" w:ascii="仿宋_GB2312" w:eastAsia="仿宋_GB2312"/>
          <w:b/>
          <w:bCs/>
          <w:color w:val="000000"/>
          <w:sz w:val="24"/>
        </w:rPr>
        <w:t>上</w:t>
      </w:r>
      <w:r>
        <w:rPr>
          <w:rFonts w:hint="eastAsia" w:ascii="仿宋_GB2312" w:eastAsia="仿宋_GB2312"/>
          <w:b/>
          <w:bCs/>
          <w:color w:val="000000"/>
          <w:sz w:val="24"/>
          <w:highlight w:val="none"/>
        </w:rPr>
        <w:t>午9：</w:t>
      </w:r>
      <w:r>
        <w:rPr>
          <w:rFonts w:hint="eastAsia" w:ascii="仿宋_GB2312" w:eastAsia="仿宋_GB2312"/>
          <w:b/>
          <w:bCs/>
          <w:color w:val="000000"/>
          <w:sz w:val="24"/>
          <w:highlight w:val="none"/>
          <w:lang w:eastAsia="zh-CN"/>
        </w:rPr>
        <w:t>3</w:t>
      </w:r>
      <w:r>
        <w:rPr>
          <w:rFonts w:hint="eastAsia" w:ascii="仿宋_GB2312" w:eastAsia="仿宋_GB2312"/>
          <w:b/>
          <w:bCs/>
          <w:color w:val="000000"/>
          <w:sz w:val="24"/>
          <w:highlight w:val="none"/>
        </w:rPr>
        <w:t>0</w:t>
      </w:r>
      <w:r>
        <w:rPr>
          <w:rFonts w:hint="eastAsia" w:ascii="仿宋_GB2312" w:eastAsia="仿宋_GB2312"/>
          <w:b/>
          <w:bCs/>
          <w:color w:val="000000"/>
          <w:sz w:val="24"/>
          <w:highlight w:val="none"/>
          <w:lang w:val="en-US" w:eastAsia="zh-CN"/>
        </w:rPr>
        <w:t>时</w:t>
      </w:r>
      <w:r>
        <w:rPr>
          <w:rFonts w:hint="eastAsia" w:ascii="仿宋_GB2312" w:eastAsia="仿宋_GB2312"/>
          <w:b/>
          <w:bCs/>
          <w:color w:val="000000"/>
          <w:sz w:val="24"/>
          <w:highlight w:val="none"/>
          <w:lang w:eastAsia="zh-CN"/>
        </w:rPr>
        <w:t>。</w:t>
      </w:r>
      <w:r>
        <w:rPr>
          <w:rFonts w:hint="eastAsia" w:ascii="仿宋_GB2312" w:eastAsia="仿宋_GB2312"/>
          <w:color w:val="000000"/>
          <w:sz w:val="24"/>
          <w:highlight w:val="none"/>
        </w:rPr>
        <w:t>投标文件正本一套副本四套必须在此规定时间之前专人送达，迟到的投标文件、未按照要求密封、盖章的投标文件，招标人将予以拒收。</w:t>
      </w:r>
    </w:p>
    <w:p>
      <w:pPr>
        <w:spacing w:line="479" w:lineRule="exact"/>
        <w:ind w:firstLine="482" w:firstLineChars="200"/>
        <w:rPr>
          <w:rFonts w:ascii="仿宋_GB2312" w:eastAsia="仿宋_GB2312"/>
          <w:bCs/>
          <w:color w:val="000000"/>
          <w:sz w:val="24"/>
          <w:highlight w:val="none"/>
        </w:rPr>
      </w:pPr>
      <w:r>
        <w:rPr>
          <w:rFonts w:hint="eastAsia" w:ascii="仿宋_GB2312" w:eastAsia="仿宋_GB2312"/>
          <w:b/>
          <w:color w:val="000000"/>
          <w:sz w:val="24"/>
          <w:highlight w:val="none"/>
        </w:rPr>
        <w:t>（二）递交投标文件地点：</w:t>
      </w:r>
      <w:r>
        <w:rPr>
          <w:rFonts w:hint="eastAsia" w:ascii="仿宋_GB2312" w:eastAsia="仿宋_GB2312"/>
          <w:bCs/>
          <w:color w:val="000000"/>
          <w:sz w:val="24"/>
          <w:highlight w:val="none"/>
          <w:lang w:eastAsia="zh-CN"/>
        </w:rPr>
        <w:t>达州市高新区斌郎街道桥坝社区</w:t>
      </w:r>
      <w:r>
        <w:rPr>
          <w:rFonts w:hint="eastAsia" w:ascii="仿宋_GB2312" w:eastAsia="仿宋_GB2312"/>
          <w:bCs/>
          <w:color w:val="000000"/>
          <w:sz w:val="24"/>
          <w:highlight w:val="none"/>
          <w:lang w:val="en-US" w:eastAsia="zh-CN"/>
        </w:rPr>
        <w:t>7组</w:t>
      </w:r>
      <w:r>
        <w:rPr>
          <w:rFonts w:hint="eastAsia" w:ascii="仿宋_GB2312" w:eastAsia="仿宋_GB2312"/>
          <w:bCs/>
          <w:color w:val="000000"/>
          <w:sz w:val="24"/>
          <w:highlight w:val="none"/>
          <w:lang w:eastAsia="zh-CN"/>
        </w:rPr>
        <w:t>达州气电</w:t>
      </w:r>
      <w:r>
        <w:rPr>
          <w:rFonts w:hint="eastAsia" w:ascii="仿宋_GB2312" w:eastAsia="仿宋_GB2312"/>
          <w:bCs/>
          <w:color w:val="000000"/>
          <w:sz w:val="24"/>
          <w:highlight w:val="none"/>
          <w:lang w:val="en-US" w:eastAsia="zh-CN"/>
        </w:rPr>
        <w:t>办公楼405</w:t>
      </w:r>
      <w:r>
        <w:rPr>
          <w:rFonts w:hint="eastAsia" w:ascii="仿宋_GB2312" w:eastAsia="仿宋_GB2312"/>
          <w:bCs/>
          <w:color w:val="000000"/>
          <w:sz w:val="24"/>
          <w:highlight w:val="none"/>
        </w:rPr>
        <w:t>室。</w:t>
      </w:r>
    </w:p>
    <w:p>
      <w:pPr>
        <w:spacing w:line="479" w:lineRule="exact"/>
        <w:ind w:firstLine="482" w:firstLineChars="200"/>
        <w:rPr>
          <w:rFonts w:ascii="仿宋_GB2312" w:eastAsia="仿宋_GB2312"/>
          <w:color w:val="000000"/>
          <w:sz w:val="24"/>
        </w:rPr>
      </w:pPr>
      <w:r>
        <w:rPr>
          <w:rFonts w:hint="eastAsia" w:ascii="仿宋_GB2312" w:eastAsia="仿宋_GB2312"/>
          <w:b/>
          <w:bCs/>
          <w:color w:val="000000"/>
          <w:sz w:val="24"/>
          <w:highlight w:val="none"/>
        </w:rPr>
        <w:t>（三）</w:t>
      </w:r>
      <w:r>
        <w:rPr>
          <w:rFonts w:hint="eastAsia" w:ascii="仿宋_GB2312" w:eastAsia="仿宋_GB2312"/>
          <w:b/>
          <w:color w:val="000000"/>
          <w:sz w:val="24"/>
          <w:highlight w:val="none"/>
        </w:rPr>
        <w:t>招标人定于北京时间</w:t>
      </w:r>
      <w:r>
        <w:rPr>
          <w:rFonts w:hint="eastAsia" w:ascii="仿宋_GB2312" w:eastAsia="仿宋_GB2312"/>
          <w:b/>
          <w:color w:val="000000"/>
          <w:sz w:val="24"/>
          <w:highlight w:val="none"/>
          <w:lang w:eastAsia="zh-CN"/>
        </w:rPr>
        <w:t>202</w:t>
      </w:r>
      <w:r>
        <w:rPr>
          <w:rFonts w:hint="eastAsia" w:ascii="仿宋_GB2312" w:eastAsia="仿宋_GB2312"/>
          <w:b/>
          <w:color w:val="000000"/>
          <w:sz w:val="24"/>
          <w:highlight w:val="none"/>
          <w:lang w:val="en-US" w:eastAsia="zh-CN"/>
        </w:rPr>
        <w:t>2</w:t>
      </w:r>
      <w:r>
        <w:rPr>
          <w:rFonts w:hint="eastAsia" w:ascii="仿宋_GB2312" w:eastAsia="仿宋_GB2312"/>
          <w:b/>
          <w:color w:val="000000"/>
          <w:sz w:val="24"/>
          <w:highlight w:val="none"/>
          <w:lang w:eastAsia="zh-CN"/>
        </w:rPr>
        <w:t>年</w:t>
      </w:r>
      <w:r>
        <w:rPr>
          <w:rFonts w:hint="eastAsia" w:ascii="仿宋_GB2312" w:eastAsia="仿宋_GB2312"/>
          <w:b/>
          <w:color w:val="000000"/>
          <w:sz w:val="24"/>
          <w:highlight w:val="none"/>
          <w:lang w:val="en-US" w:eastAsia="zh-CN"/>
        </w:rPr>
        <w:t>5</w:t>
      </w:r>
      <w:r>
        <w:rPr>
          <w:rFonts w:hint="eastAsia" w:ascii="仿宋_GB2312" w:eastAsia="仿宋_GB2312"/>
          <w:b/>
          <w:color w:val="000000"/>
          <w:sz w:val="24"/>
          <w:highlight w:val="none"/>
        </w:rPr>
        <w:t>月</w:t>
      </w:r>
      <w:r>
        <w:rPr>
          <w:rFonts w:hint="eastAsia" w:ascii="仿宋_GB2312" w:eastAsia="仿宋_GB2312"/>
          <w:b/>
          <w:color w:val="000000"/>
          <w:sz w:val="24"/>
          <w:highlight w:val="none"/>
          <w:lang w:val="en-US" w:eastAsia="zh-CN"/>
        </w:rPr>
        <w:t>26日</w:t>
      </w:r>
      <w:r>
        <w:rPr>
          <w:rFonts w:hint="eastAsia" w:ascii="仿宋_GB2312" w:eastAsia="仿宋_GB2312"/>
          <w:b/>
          <w:color w:val="000000"/>
          <w:sz w:val="24"/>
          <w:highlight w:val="none"/>
        </w:rPr>
        <w:t>上午9:</w:t>
      </w:r>
      <w:r>
        <w:rPr>
          <w:rFonts w:hint="eastAsia" w:ascii="仿宋_GB2312" w:eastAsia="仿宋_GB2312"/>
          <w:b/>
          <w:color w:val="000000"/>
          <w:sz w:val="24"/>
          <w:highlight w:val="none"/>
          <w:lang w:eastAsia="zh-CN"/>
        </w:rPr>
        <w:t>3</w:t>
      </w:r>
      <w:r>
        <w:rPr>
          <w:rFonts w:hint="eastAsia" w:ascii="仿宋_GB2312" w:eastAsia="仿宋_GB2312"/>
          <w:b/>
          <w:color w:val="000000"/>
          <w:sz w:val="24"/>
          <w:highlight w:val="none"/>
        </w:rPr>
        <w:t>0</w:t>
      </w:r>
      <w:r>
        <w:rPr>
          <w:rFonts w:hint="eastAsia" w:ascii="仿宋_GB2312" w:eastAsia="仿宋_GB2312"/>
          <w:b/>
          <w:color w:val="000000"/>
          <w:sz w:val="24"/>
          <w:highlight w:val="none"/>
          <w:lang w:val="en-US" w:eastAsia="zh-CN"/>
        </w:rPr>
        <w:t>时，</w:t>
      </w:r>
      <w:r>
        <w:rPr>
          <w:rFonts w:hint="eastAsia" w:ascii="仿宋_GB2312" w:eastAsia="仿宋_GB2312"/>
          <w:color w:val="000000"/>
          <w:sz w:val="24"/>
          <w:highlight w:val="none"/>
        </w:rPr>
        <w:t>在</w:t>
      </w:r>
      <w:r>
        <w:rPr>
          <w:rFonts w:hint="eastAsia" w:ascii="仿宋_GB2312" w:eastAsia="仿宋_GB2312"/>
          <w:color w:val="000000"/>
          <w:sz w:val="24"/>
          <w:highlight w:val="none"/>
          <w:lang w:eastAsia="zh-CN"/>
        </w:rPr>
        <w:t>达州市高新区斌郎街道桥坝社区达州气电</w:t>
      </w:r>
      <w:r>
        <w:rPr>
          <w:rFonts w:hint="eastAsia" w:ascii="仿宋_GB2312" w:eastAsia="仿宋_GB2312"/>
          <w:color w:val="000000"/>
          <w:sz w:val="24"/>
          <w:highlight w:val="none"/>
          <w:lang w:val="en-US" w:eastAsia="zh-CN"/>
        </w:rPr>
        <w:t>4楼</w:t>
      </w:r>
      <w:r>
        <w:rPr>
          <w:rFonts w:hint="eastAsia" w:ascii="仿宋_GB2312" w:eastAsia="仿宋_GB2312"/>
          <w:color w:val="000000"/>
          <w:sz w:val="24"/>
          <w:highlight w:val="none"/>
        </w:rPr>
        <w:t>会议室举行开标仪式，招标人邀请已递交投标文件的中</w:t>
      </w:r>
      <w:r>
        <w:rPr>
          <w:rFonts w:hint="eastAsia" w:ascii="仿宋_GB2312" w:eastAsia="仿宋_GB2312"/>
          <w:color w:val="000000"/>
          <w:sz w:val="24"/>
        </w:rPr>
        <w:t xml:space="preserve">介机构到现场参与开标，中介机构负责人或委托代理人应当对本单位递交的投标文件开启情况签字确认。 </w:t>
      </w:r>
    </w:p>
    <w:p>
      <w:pPr>
        <w:spacing w:line="479" w:lineRule="exact"/>
        <w:ind w:firstLine="480" w:firstLineChars="200"/>
        <w:rPr>
          <w:rFonts w:hint="eastAsia" w:ascii="黑体" w:hAnsi="ˎ̥_GB2312" w:eastAsia="黑体" w:cs="宋体"/>
          <w:color w:val="000000"/>
          <w:kern w:val="0"/>
          <w:sz w:val="24"/>
          <w:lang w:val="en-US" w:eastAsia="zh-CN"/>
        </w:rPr>
      </w:pPr>
      <w:r>
        <w:rPr>
          <w:rFonts w:hint="eastAsia" w:ascii="黑体" w:hAnsi="ˎ̥_GB2312" w:eastAsia="黑体" w:cs="宋体"/>
          <w:color w:val="000000"/>
          <w:kern w:val="0"/>
          <w:sz w:val="24"/>
        </w:rPr>
        <w:t>八、公告发布</w:t>
      </w:r>
    </w:p>
    <w:p>
      <w:pPr>
        <w:spacing w:line="360" w:lineRule="auto"/>
        <w:ind w:firstLine="480" w:firstLineChars="200"/>
        <w:rPr>
          <w:rFonts w:ascii="仿宋_GB2312" w:hAnsi="仿宋" w:eastAsia="仿宋_GB2312" w:cs="宋体"/>
          <w:bCs/>
          <w:color w:val="000000"/>
          <w:kern w:val="0"/>
          <w:sz w:val="24"/>
        </w:rPr>
      </w:pPr>
      <w:r>
        <w:rPr>
          <w:rFonts w:hint="eastAsia" w:ascii="仿宋_GB2312" w:hAnsi="仿宋" w:eastAsia="仿宋_GB2312" w:cs="宋体"/>
          <w:bCs/>
          <w:color w:val="000000"/>
          <w:kern w:val="0"/>
          <w:sz w:val="24"/>
        </w:rPr>
        <w:t>本次招标公告发布媒介：</w:t>
      </w:r>
      <w:r>
        <w:rPr>
          <w:rFonts w:hint="eastAsia" w:ascii="仿宋_GB2312" w:hAnsi="仿宋" w:eastAsia="仿宋_GB2312" w:cs="宋体"/>
          <w:bCs/>
          <w:color w:val="000000"/>
          <w:kern w:val="0"/>
          <w:sz w:val="24"/>
          <w:lang w:eastAsia="zh-CN"/>
        </w:rPr>
        <w:t>川投（达州）燃气发电有限公司</w:t>
      </w:r>
      <w:r>
        <w:rPr>
          <w:rFonts w:hint="eastAsia" w:ascii="仿宋_GB2312" w:hAnsi="仿宋" w:eastAsia="仿宋_GB2312" w:cs="宋体"/>
          <w:bCs/>
          <w:color w:val="000000"/>
          <w:kern w:val="0"/>
          <w:sz w:val="24"/>
        </w:rPr>
        <w:t>官网发布</w:t>
      </w:r>
      <w:r>
        <w:rPr>
          <w:rFonts w:hint="eastAsia" w:ascii="仿宋_GB2312" w:eastAsia="仿宋_GB2312"/>
          <w:color w:val="auto"/>
          <w:sz w:val="24"/>
        </w:rPr>
        <w:t>（网址</w:t>
      </w:r>
      <w:r>
        <w:rPr>
          <w:rFonts w:hint="eastAsia" w:ascii="仿宋_GB2312" w:hAnsi="仿宋_GB2312" w:eastAsia="仿宋_GB2312" w:cs="仿宋_GB2312"/>
          <w:color w:val="auto"/>
          <w:sz w:val="24"/>
        </w:rPr>
        <w:t>：</w:t>
      </w:r>
      <w:r>
        <w:rPr>
          <w:rFonts w:hint="eastAsia" w:ascii="仿宋_GB2312" w:hAnsi="仿宋" w:eastAsia="仿宋_GB2312" w:cs="宋体"/>
          <w:bCs/>
          <w:color w:val="000000"/>
          <w:kern w:val="0"/>
          <w:sz w:val="24"/>
        </w:rPr>
        <w:fldChar w:fldCharType="begin"/>
      </w:r>
      <w:r>
        <w:rPr>
          <w:rFonts w:hint="eastAsia" w:ascii="仿宋_GB2312" w:hAnsi="仿宋" w:eastAsia="仿宋_GB2312" w:cs="宋体"/>
          <w:bCs/>
          <w:color w:val="000000"/>
          <w:kern w:val="0"/>
          <w:sz w:val="24"/>
        </w:rPr>
        <w:instrText xml:space="preserve"> HYPERLINK "http://www.invest.com." </w:instrText>
      </w:r>
      <w:r>
        <w:rPr>
          <w:rFonts w:hint="eastAsia" w:ascii="仿宋_GB2312" w:hAnsi="仿宋" w:eastAsia="仿宋_GB2312" w:cs="宋体"/>
          <w:bCs/>
          <w:color w:val="000000"/>
          <w:kern w:val="0"/>
          <w:sz w:val="24"/>
        </w:rPr>
        <w:fldChar w:fldCharType="separate"/>
      </w:r>
      <w:r>
        <w:rPr>
          <w:rFonts w:hint="eastAsia" w:ascii="仿宋_GB2312" w:hAnsi="仿宋" w:eastAsia="仿宋_GB2312" w:cs="宋体"/>
          <w:bCs/>
          <w:color w:val="000000"/>
          <w:kern w:val="0"/>
          <w:sz w:val="24"/>
        </w:rPr>
        <w:t>http://www.invest.com.</w:t>
      </w:r>
      <w:r>
        <w:rPr>
          <w:rFonts w:hint="eastAsia" w:ascii="仿宋_GB2312" w:hAnsi="仿宋" w:eastAsia="仿宋_GB2312" w:cs="宋体"/>
          <w:bCs/>
          <w:color w:val="000000"/>
          <w:kern w:val="0"/>
          <w:sz w:val="24"/>
        </w:rPr>
        <w:fldChar w:fldCharType="end"/>
      </w:r>
      <w:r>
        <w:rPr>
          <w:rFonts w:hint="eastAsia" w:ascii="仿宋_GB2312" w:hAnsi="仿宋" w:eastAsia="仿宋_GB2312" w:cs="宋体"/>
          <w:bCs/>
          <w:color w:val="000000"/>
          <w:kern w:val="0"/>
          <w:sz w:val="24"/>
        </w:rPr>
        <w:t>cn/）</w:t>
      </w:r>
      <w:r>
        <w:rPr>
          <w:rFonts w:hint="eastAsia" w:ascii="仿宋_GB2312" w:hAnsi="仿宋" w:eastAsia="仿宋_GB2312" w:cs="宋体"/>
          <w:bCs/>
          <w:color w:val="000000"/>
          <w:kern w:val="0"/>
          <w:sz w:val="24"/>
          <w:lang w:val="en-US" w:eastAsia="zh-CN"/>
        </w:rPr>
        <w:t>和</w:t>
      </w:r>
      <w:r>
        <w:rPr>
          <w:rFonts w:hint="eastAsia" w:ascii="仿宋_GB2312" w:hAnsi="仿宋_GB2312" w:eastAsia="仿宋_GB2312" w:cs="仿宋_GB2312"/>
          <w:sz w:val="24"/>
          <w:lang w:val="en-US" w:eastAsia="zh-CN"/>
        </w:rPr>
        <w:t>达州气电外网（https://ctqd.invest.com.cn/）</w:t>
      </w:r>
      <w:r>
        <w:rPr>
          <w:rFonts w:hint="eastAsia" w:ascii="仿宋_GB2312" w:hAnsi="仿宋_GB2312" w:eastAsia="仿宋_GB2312" w:cs="仿宋_GB2312"/>
          <w:sz w:val="24"/>
        </w:rPr>
        <w:t>上发布。</w:t>
      </w:r>
    </w:p>
    <w:p>
      <w:pPr>
        <w:spacing w:line="479" w:lineRule="exact"/>
        <w:ind w:firstLine="480" w:firstLineChars="200"/>
        <w:rPr>
          <w:rFonts w:ascii="黑体" w:hAnsi="ˎ̥_GB2312" w:eastAsia="黑体" w:cs="宋体"/>
          <w:color w:val="000000"/>
          <w:kern w:val="0"/>
          <w:sz w:val="24"/>
        </w:rPr>
      </w:pPr>
      <w:r>
        <w:rPr>
          <w:rFonts w:hint="eastAsia" w:ascii="黑体" w:hAnsi="ˎ̥_GB2312" w:eastAsia="黑体" w:cs="宋体"/>
          <w:color w:val="000000"/>
          <w:kern w:val="0"/>
          <w:sz w:val="24"/>
        </w:rPr>
        <w:t>九、联系方式</w:t>
      </w:r>
    </w:p>
    <w:p>
      <w:pPr>
        <w:spacing w:line="479" w:lineRule="exact"/>
        <w:ind w:firstLine="480" w:firstLineChars="200"/>
        <w:rPr>
          <w:rFonts w:hint="eastAsia" w:ascii="仿宋_GB2312" w:eastAsia="仿宋_GB2312"/>
          <w:color w:val="000000"/>
          <w:sz w:val="24"/>
          <w:lang w:eastAsia="zh-CN"/>
        </w:rPr>
      </w:pPr>
      <w:r>
        <w:rPr>
          <w:rFonts w:hint="eastAsia" w:ascii="仿宋_GB2312" w:eastAsia="仿宋_GB2312"/>
          <w:color w:val="000000"/>
          <w:sz w:val="24"/>
          <w:lang w:val="en-US" w:eastAsia="zh-CN"/>
        </w:rPr>
        <w:t>招 标</w:t>
      </w:r>
      <w:r>
        <w:rPr>
          <w:rFonts w:hint="eastAsia" w:ascii="仿宋_GB2312" w:eastAsia="仿宋_GB2312"/>
          <w:color w:val="000000"/>
          <w:sz w:val="24"/>
        </w:rPr>
        <w:t xml:space="preserve"> 人：</w:t>
      </w:r>
      <w:r>
        <w:rPr>
          <w:rFonts w:hint="eastAsia" w:ascii="仿宋_GB2312" w:eastAsia="仿宋_GB2312"/>
          <w:color w:val="000000"/>
          <w:sz w:val="24"/>
          <w:lang w:eastAsia="zh-CN"/>
        </w:rPr>
        <w:t>川投（达州）燃气发电有限公司</w:t>
      </w:r>
    </w:p>
    <w:p>
      <w:pPr>
        <w:spacing w:line="479" w:lineRule="exact"/>
        <w:ind w:firstLine="480" w:firstLineChars="200"/>
        <w:rPr>
          <w:rFonts w:hint="eastAsia" w:ascii="仿宋_GB2312" w:eastAsia="仿宋_GB2312"/>
          <w:color w:val="000000"/>
          <w:sz w:val="24"/>
          <w:lang w:val="en-US" w:eastAsia="zh-CN"/>
        </w:rPr>
      </w:pPr>
      <w:r>
        <w:rPr>
          <w:rFonts w:hint="eastAsia" w:ascii="仿宋_GB2312" w:eastAsia="仿宋_GB2312"/>
          <w:color w:val="000000"/>
          <w:sz w:val="24"/>
        </w:rPr>
        <w:t>地    址：</w:t>
      </w:r>
      <w:r>
        <w:rPr>
          <w:rFonts w:hint="eastAsia" w:ascii="仿宋_GB2312" w:eastAsia="仿宋_GB2312"/>
          <w:color w:val="000000"/>
          <w:sz w:val="24"/>
          <w:lang w:eastAsia="zh-CN"/>
        </w:rPr>
        <w:t>达州市高新区斌郎街道桥坝社区</w:t>
      </w:r>
      <w:r>
        <w:rPr>
          <w:rFonts w:hint="eastAsia" w:ascii="仿宋_GB2312" w:eastAsia="仿宋_GB2312"/>
          <w:color w:val="000000"/>
          <w:sz w:val="24"/>
          <w:lang w:val="en-US" w:eastAsia="zh-CN"/>
        </w:rPr>
        <w:t>7组</w:t>
      </w:r>
      <w:r>
        <w:rPr>
          <w:rFonts w:hint="eastAsia" w:ascii="仿宋_GB2312" w:eastAsia="仿宋_GB2312"/>
          <w:color w:val="000000"/>
          <w:sz w:val="24"/>
          <w:lang w:eastAsia="zh-CN"/>
        </w:rPr>
        <w:t>达州气电</w:t>
      </w:r>
    </w:p>
    <w:p>
      <w:pPr>
        <w:spacing w:line="479" w:lineRule="exact"/>
        <w:ind w:firstLine="480" w:firstLineChars="200"/>
        <w:rPr>
          <w:rFonts w:ascii="仿宋_GB2312" w:eastAsia="仿宋_GB2312"/>
          <w:color w:val="000000"/>
          <w:sz w:val="24"/>
        </w:rPr>
      </w:pPr>
      <w:r>
        <w:rPr>
          <w:rFonts w:hint="eastAsia" w:ascii="仿宋_GB2312" w:eastAsia="仿宋_GB2312"/>
          <w:color w:val="000000"/>
          <w:sz w:val="24"/>
        </w:rPr>
        <w:t>联 系 人：【</w:t>
      </w:r>
      <w:r>
        <w:rPr>
          <w:rFonts w:hint="eastAsia" w:ascii="仿宋_GB2312" w:eastAsia="仿宋_GB2312"/>
          <w:color w:val="000000"/>
          <w:sz w:val="24"/>
          <w:lang w:val="en-US" w:eastAsia="zh-CN"/>
        </w:rPr>
        <w:t>何亮</w:t>
      </w:r>
      <w:r>
        <w:rPr>
          <w:rFonts w:hint="eastAsia" w:ascii="仿宋_GB2312" w:eastAsia="仿宋_GB2312"/>
          <w:color w:val="000000"/>
          <w:sz w:val="24"/>
        </w:rPr>
        <w:t>】</w:t>
      </w:r>
    </w:p>
    <w:p>
      <w:pPr>
        <w:spacing w:line="479" w:lineRule="exact"/>
        <w:ind w:firstLine="480" w:firstLineChars="200"/>
        <w:rPr>
          <w:rFonts w:ascii="仿宋_GB2312" w:eastAsia="仿宋_GB2312"/>
          <w:color w:val="000000"/>
          <w:sz w:val="24"/>
          <w:highlight w:val="none"/>
        </w:rPr>
      </w:pPr>
      <w:r>
        <w:rPr>
          <w:rFonts w:hint="eastAsia" w:ascii="仿宋_GB2312" w:eastAsia="仿宋_GB2312"/>
          <w:color w:val="000000"/>
          <w:sz w:val="24"/>
        </w:rPr>
        <w:t>联系电话：</w:t>
      </w:r>
      <w:r>
        <w:rPr>
          <w:rFonts w:hint="eastAsia" w:ascii="仿宋_GB2312" w:eastAsia="仿宋_GB2312"/>
          <w:color w:val="000000"/>
          <w:sz w:val="24"/>
          <w:highlight w:val="none"/>
        </w:rPr>
        <w:t>【</w:t>
      </w:r>
      <w:r>
        <w:rPr>
          <w:rFonts w:hint="eastAsia" w:ascii="仿宋_GB2312" w:eastAsia="仿宋_GB2312"/>
          <w:sz w:val="24"/>
          <w:highlight w:val="none"/>
          <w:lang w:val="en-US" w:eastAsia="zh-CN"/>
        </w:rPr>
        <w:t>0818-3331165</w:t>
      </w:r>
      <w:r>
        <w:rPr>
          <w:rFonts w:hint="eastAsia" w:ascii="仿宋_GB2312" w:eastAsia="仿宋_GB2312"/>
          <w:color w:val="000000"/>
          <w:sz w:val="24"/>
          <w:highlight w:val="none"/>
        </w:rPr>
        <w:t>】</w:t>
      </w:r>
    </w:p>
    <w:p>
      <w:pPr>
        <w:spacing w:line="479" w:lineRule="exact"/>
        <w:ind w:right="0" w:firstLine="480" w:firstLineChars="200"/>
      </w:pPr>
      <w:r>
        <w:rPr>
          <w:rFonts w:hint="eastAsia" w:ascii="仿宋_GB2312" w:eastAsia="仿宋_GB2312"/>
          <w:color w:val="000000"/>
          <w:sz w:val="24"/>
          <w:highlight w:val="none"/>
        </w:rPr>
        <w:t>邮</w:t>
      </w:r>
      <w:r>
        <w:rPr>
          <w:rFonts w:hint="eastAsia" w:ascii="仿宋_GB2312" w:eastAsia="仿宋_GB2312"/>
          <w:color w:val="000000"/>
          <w:sz w:val="24"/>
          <w:highlight w:val="none"/>
          <w:lang w:val="en-US" w:eastAsia="zh-CN"/>
        </w:rPr>
        <w:t xml:space="preserve">    </w:t>
      </w:r>
      <w:r>
        <w:rPr>
          <w:rFonts w:hint="eastAsia" w:ascii="仿宋_GB2312" w:eastAsia="仿宋_GB2312"/>
          <w:color w:val="000000"/>
          <w:sz w:val="24"/>
          <w:highlight w:val="none"/>
        </w:rPr>
        <w:t>箱：【</w:t>
      </w:r>
      <w:r>
        <w:rPr>
          <w:rFonts w:hint="eastAsia" w:ascii="仿宋_GB2312" w:eastAsia="仿宋_GB2312"/>
          <w:color w:val="000000"/>
          <w:sz w:val="24"/>
          <w:highlight w:val="none"/>
          <w:lang w:val="en-US" w:eastAsia="zh-CN"/>
        </w:rPr>
        <w:t>HL080117@sina</w:t>
      </w:r>
      <w:r>
        <w:rPr>
          <w:rFonts w:hint="eastAsia" w:ascii="仿宋_GB2312" w:eastAsia="仿宋_GB2312"/>
          <w:color w:val="000000"/>
          <w:sz w:val="24"/>
          <w:highlight w:val="none"/>
        </w:rPr>
        <w:t>.</w:t>
      </w:r>
      <w:r>
        <w:rPr>
          <w:rFonts w:hint="eastAsia" w:ascii="仿宋_GB2312" w:eastAsia="仿宋_GB2312"/>
          <w:color w:val="000000"/>
          <w:sz w:val="24"/>
          <w:highlight w:val="none"/>
          <w:lang w:val="en-US" w:eastAsia="zh-CN"/>
        </w:rPr>
        <w:t>cn</w:t>
      </w:r>
      <w:bookmarkEnd w:id="0"/>
      <w:bookmarkEnd w:id="1"/>
      <w:bookmarkEnd w:id="2"/>
      <w:bookmarkEnd w:id="3"/>
      <w:r>
        <w:rPr>
          <w:rFonts w:hint="eastAsia" w:ascii="仿宋_GB2312" w:eastAsia="仿宋_GB2312"/>
          <w:color w:val="000000"/>
          <w:sz w:val="24"/>
          <w:highlight w:val="none"/>
        </w:rPr>
        <w:t>】</w:t>
      </w:r>
      <w:bookmarkStart w:id="11" w:name="_GoBack"/>
      <w:bookmarkEnd w:id="11"/>
    </w:p>
    <w:sectPr>
      <w:headerReference r:id="rId3" w:type="default"/>
      <w:footerReference r:id="rId4" w:type="default"/>
      <w:pgSz w:w="11906" w:h="16838"/>
      <w:pgMar w:top="2098" w:right="1474" w:bottom="1984" w:left="1587" w:header="851" w:footer="153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ˎ̥_GB2312">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Style w:val="1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4939"/>
        <w:tab w:val="clear" w:pos="4153"/>
      </w:tabs>
      <w:jc w:val="both"/>
      <w:rPr>
        <w:rStyle w:val="24"/>
        <w:i/>
        <w:iCs/>
      </w:rPr>
    </w:pPr>
    <w:r>
      <w:rPr>
        <w:rStyle w:val="24"/>
        <w:rFonts w:hint="eastAsia"/>
        <w:i/>
        <w:i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235D4"/>
    <w:multiLevelType w:val="multilevel"/>
    <w:tmpl w:val="274235D4"/>
    <w:lvl w:ilvl="0" w:tentative="0">
      <w:start w:val="1"/>
      <w:numFmt w:val="chineseCountingThousand"/>
      <w:pStyle w:val="2"/>
      <w:lvlText w:val="%1、"/>
      <w:lvlJc w:val="left"/>
      <w:pPr>
        <w:tabs>
          <w:tab w:val="left" w:pos="945"/>
        </w:tabs>
        <w:ind w:left="378" w:firstLine="567"/>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3033850"/>
    <w:multiLevelType w:val="multilevel"/>
    <w:tmpl w:val="63033850"/>
    <w:lvl w:ilvl="0" w:tentative="0">
      <w:start w:val="1"/>
      <w:numFmt w:val="chineseCountingThousand"/>
      <w:pStyle w:val="4"/>
      <w:suff w:val="nothing"/>
      <w:lvlText w:val="第%1章  "/>
      <w:lvlJc w:val="left"/>
      <w:pPr>
        <w:ind w:left="0" w:firstLine="0"/>
      </w:pPr>
      <w:rPr>
        <w:rFonts w:hint="eastAsia"/>
      </w:rPr>
    </w:lvl>
    <w:lvl w:ilvl="1" w:tentative="0">
      <w:start w:val="1"/>
      <w:numFmt w:val="chineseCountingThousand"/>
      <w:suff w:val="nothing"/>
      <w:lvlText w:val="第%2节"/>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95276"/>
    <w:rsid w:val="00002B7E"/>
    <w:rsid w:val="00014EBE"/>
    <w:rsid w:val="0031024E"/>
    <w:rsid w:val="0054224F"/>
    <w:rsid w:val="006A7403"/>
    <w:rsid w:val="008F4FBE"/>
    <w:rsid w:val="008F79A1"/>
    <w:rsid w:val="00985CD3"/>
    <w:rsid w:val="00CA4FB4"/>
    <w:rsid w:val="01021524"/>
    <w:rsid w:val="012B313F"/>
    <w:rsid w:val="012D1B4B"/>
    <w:rsid w:val="01911BA7"/>
    <w:rsid w:val="01A30ECF"/>
    <w:rsid w:val="01CC4484"/>
    <w:rsid w:val="0229026F"/>
    <w:rsid w:val="024B1EAB"/>
    <w:rsid w:val="026860DC"/>
    <w:rsid w:val="027907AF"/>
    <w:rsid w:val="027F69D4"/>
    <w:rsid w:val="028B0847"/>
    <w:rsid w:val="02BA386E"/>
    <w:rsid w:val="02E21D21"/>
    <w:rsid w:val="02FB07DF"/>
    <w:rsid w:val="033562C9"/>
    <w:rsid w:val="03916DDB"/>
    <w:rsid w:val="03A3591D"/>
    <w:rsid w:val="03C41CC6"/>
    <w:rsid w:val="03CB7E55"/>
    <w:rsid w:val="03E8431B"/>
    <w:rsid w:val="04111046"/>
    <w:rsid w:val="046620CE"/>
    <w:rsid w:val="048C438C"/>
    <w:rsid w:val="04931F1D"/>
    <w:rsid w:val="04B61794"/>
    <w:rsid w:val="04BB4149"/>
    <w:rsid w:val="04D01E34"/>
    <w:rsid w:val="04D10B20"/>
    <w:rsid w:val="04F91175"/>
    <w:rsid w:val="052733FC"/>
    <w:rsid w:val="05381AE9"/>
    <w:rsid w:val="05523D1F"/>
    <w:rsid w:val="05554354"/>
    <w:rsid w:val="055849A6"/>
    <w:rsid w:val="05600E02"/>
    <w:rsid w:val="05746799"/>
    <w:rsid w:val="05887BBC"/>
    <w:rsid w:val="059E0CB3"/>
    <w:rsid w:val="059F7E1A"/>
    <w:rsid w:val="05C01C52"/>
    <w:rsid w:val="05D2376F"/>
    <w:rsid w:val="05E87714"/>
    <w:rsid w:val="05ED7C83"/>
    <w:rsid w:val="062F41CF"/>
    <w:rsid w:val="063A59C1"/>
    <w:rsid w:val="065C2F0B"/>
    <w:rsid w:val="066264D8"/>
    <w:rsid w:val="06901A22"/>
    <w:rsid w:val="06A600EF"/>
    <w:rsid w:val="06D01097"/>
    <w:rsid w:val="071C50F5"/>
    <w:rsid w:val="07256BA9"/>
    <w:rsid w:val="0734430F"/>
    <w:rsid w:val="076D1C05"/>
    <w:rsid w:val="079C4FDE"/>
    <w:rsid w:val="07F04D03"/>
    <w:rsid w:val="08102C11"/>
    <w:rsid w:val="084C5E2A"/>
    <w:rsid w:val="087861CC"/>
    <w:rsid w:val="087A18CC"/>
    <w:rsid w:val="088E64FB"/>
    <w:rsid w:val="093279CD"/>
    <w:rsid w:val="09684D5B"/>
    <w:rsid w:val="098640BD"/>
    <w:rsid w:val="099500A3"/>
    <w:rsid w:val="09955529"/>
    <w:rsid w:val="09B01274"/>
    <w:rsid w:val="09CF35A3"/>
    <w:rsid w:val="09E1400B"/>
    <w:rsid w:val="0A051439"/>
    <w:rsid w:val="0A5114F1"/>
    <w:rsid w:val="0A513D1D"/>
    <w:rsid w:val="0A5B5969"/>
    <w:rsid w:val="0AA004D5"/>
    <w:rsid w:val="0AA2291D"/>
    <w:rsid w:val="0AAB2240"/>
    <w:rsid w:val="0AD155F7"/>
    <w:rsid w:val="0AD45394"/>
    <w:rsid w:val="0B230F81"/>
    <w:rsid w:val="0B8F2955"/>
    <w:rsid w:val="0BBB7F47"/>
    <w:rsid w:val="0BC0243F"/>
    <w:rsid w:val="0BD46697"/>
    <w:rsid w:val="0BF9559B"/>
    <w:rsid w:val="0C09420D"/>
    <w:rsid w:val="0C40553E"/>
    <w:rsid w:val="0C58556A"/>
    <w:rsid w:val="0C8D455F"/>
    <w:rsid w:val="0CC76512"/>
    <w:rsid w:val="0CE21FFB"/>
    <w:rsid w:val="0CE25662"/>
    <w:rsid w:val="0CE9717B"/>
    <w:rsid w:val="0D09334C"/>
    <w:rsid w:val="0D52223A"/>
    <w:rsid w:val="0D5D7FED"/>
    <w:rsid w:val="0DBF680E"/>
    <w:rsid w:val="0DD162D9"/>
    <w:rsid w:val="0DE5646F"/>
    <w:rsid w:val="0DF70C9C"/>
    <w:rsid w:val="0E245A99"/>
    <w:rsid w:val="0E2F082B"/>
    <w:rsid w:val="0E31594A"/>
    <w:rsid w:val="0E605454"/>
    <w:rsid w:val="0E8A654F"/>
    <w:rsid w:val="0EF9089E"/>
    <w:rsid w:val="0F307836"/>
    <w:rsid w:val="0F370F7D"/>
    <w:rsid w:val="0F3E4144"/>
    <w:rsid w:val="0F615E94"/>
    <w:rsid w:val="0F860770"/>
    <w:rsid w:val="0F947352"/>
    <w:rsid w:val="1008007B"/>
    <w:rsid w:val="100D6936"/>
    <w:rsid w:val="10364652"/>
    <w:rsid w:val="10B351F0"/>
    <w:rsid w:val="10E01181"/>
    <w:rsid w:val="10F46C39"/>
    <w:rsid w:val="11372E9D"/>
    <w:rsid w:val="11920D70"/>
    <w:rsid w:val="11942A4F"/>
    <w:rsid w:val="11AD4B58"/>
    <w:rsid w:val="11D43E8D"/>
    <w:rsid w:val="120C0595"/>
    <w:rsid w:val="12573297"/>
    <w:rsid w:val="12701AE2"/>
    <w:rsid w:val="12A6278A"/>
    <w:rsid w:val="12B96719"/>
    <w:rsid w:val="13131A40"/>
    <w:rsid w:val="13284E13"/>
    <w:rsid w:val="132B5168"/>
    <w:rsid w:val="1335658A"/>
    <w:rsid w:val="134617B1"/>
    <w:rsid w:val="1377070C"/>
    <w:rsid w:val="13A20378"/>
    <w:rsid w:val="13A30DE1"/>
    <w:rsid w:val="13C846A3"/>
    <w:rsid w:val="14022054"/>
    <w:rsid w:val="140376A2"/>
    <w:rsid w:val="14187D99"/>
    <w:rsid w:val="14231C2A"/>
    <w:rsid w:val="143201AF"/>
    <w:rsid w:val="144470D3"/>
    <w:rsid w:val="144855B4"/>
    <w:rsid w:val="144E4D0A"/>
    <w:rsid w:val="144F0E6B"/>
    <w:rsid w:val="148E7032"/>
    <w:rsid w:val="14A246F7"/>
    <w:rsid w:val="151F32C6"/>
    <w:rsid w:val="152F029F"/>
    <w:rsid w:val="15391BD0"/>
    <w:rsid w:val="153B231E"/>
    <w:rsid w:val="155B1BF1"/>
    <w:rsid w:val="15651979"/>
    <w:rsid w:val="15833BB8"/>
    <w:rsid w:val="158430D9"/>
    <w:rsid w:val="15965B0E"/>
    <w:rsid w:val="15E976D1"/>
    <w:rsid w:val="1621595B"/>
    <w:rsid w:val="16546FF9"/>
    <w:rsid w:val="1658524A"/>
    <w:rsid w:val="165C1AD9"/>
    <w:rsid w:val="165E742B"/>
    <w:rsid w:val="16624193"/>
    <w:rsid w:val="16970CF9"/>
    <w:rsid w:val="16A46EBB"/>
    <w:rsid w:val="16B10984"/>
    <w:rsid w:val="16D62E92"/>
    <w:rsid w:val="16DE05C8"/>
    <w:rsid w:val="16F12A60"/>
    <w:rsid w:val="16FF18C3"/>
    <w:rsid w:val="16FF233E"/>
    <w:rsid w:val="17831B6F"/>
    <w:rsid w:val="17B57CD0"/>
    <w:rsid w:val="17D349FD"/>
    <w:rsid w:val="17D63168"/>
    <w:rsid w:val="182920DE"/>
    <w:rsid w:val="18832900"/>
    <w:rsid w:val="189E1DFD"/>
    <w:rsid w:val="18A10377"/>
    <w:rsid w:val="18F5387B"/>
    <w:rsid w:val="19344FAE"/>
    <w:rsid w:val="195E7287"/>
    <w:rsid w:val="196F6C0E"/>
    <w:rsid w:val="197E7E2F"/>
    <w:rsid w:val="19A12CBC"/>
    <w:rsid w:val="19A43211"/>
    <w:rsid w:val="19AE2077"/>
    <w:rsid w:val="19B569B2"/>
    <w:rsid w:val="19C11AC9"/>
    <w:rsid w:val="19DE75CC"/>
    <w:rsid w:val="1A316F18"/>
    <w:rsid w:val="1A4D55EC"/>
    <w:rsid w:val="1A5015AE"/>
    <w:rsid w:val="1A9B2E88"/>
    <w:rsid w:val="1AD86805"/>
    <w:rsid w:val="1B2B1297"/>
    <w:rsid w:val="1B2D35AB"/>
    <w:rsid w:val="1B8D0D80"/>
    <w:rsid w:val="1B986297"/>
    <w:rsid w:val="1BB629C8"/>
    <w:rsid w:val="1BBE32B2"/>
    <w:rsid w:val="1BDF23CC"/>
    <w:rsid w:val="1BEC7D51"/>
    <w:rsid w:val="1BFC319C"/>
    <w:rsid w:val="1BFF38E9"/>
    <w:rsid w:val="1C0919D5"/>
    <w:rsid w:val="1C2810F2"/>
    <w:rsid w:val="1CA56267"/>
    <w:rsid w:val="1CCD590E"/>
    <w:rsid w:val="1D007B8D"/>
    <w:rsid w:val="1D315099"/>
    <w:rsid w:val="1D6D7140"/>
    <w:rsid w:val="1DB65F7E"/>
    <w:rsid w:val="1DB81EBC"/>
    <w:rsid w:val="1E2A12EA"/>
    <w:rsid w:val="1E330DAC"/>
    <w:rsid w:val="1E861C3C"/>
    <w:rsid w:val="1E99336C"/>
    <w:rsid w:val="1EB93E5B"/>
    <w:rsid w:val="1EDE5F2C"/>
    <w:rsid w:val="1F0965F7"/>
    <w:rsid w:val="1F0A3901"/>
    <w:rsid w:val="1F230D50"/>
    <w:rsid w:val="1F535119"/>
    <w:rsid w:val="1F674878"/>
    <w:rsid w:val="1FA70196"/>
    <w:rsid w:val="1FCB6A63"/>
    <w:rsid w:val="206C3539"/>
    <w:rsid w:val="210B1031"/>
    <w:rsid w:val="2137130C"/>
    <w:rsid w:val="21B25715"/>
    <w:rsid w:val="21B85E46"/>
    <w:rsid w:val="221501DF"/>
    <w:rsid w:val="222F05A5"/>
    <w:rsid w:val="224C623F"/>
    <w:rsid w:val="224F3CC1"/>
    <w:rsid w:val="226330D7"/>
    <w:rsid w:val="227E086A"/>
    <w:rsid w:val="228A0632"/>
    <w:rsid w:val="228C1731"/>
    <w:rsid w:val="228D5DDC"/>
    <w:rsid w:val="22932F8C"/>
    <w:rsid w:val="22BD49B0"/>
    <w:rsid w:val="22BF4344"/>
    <w:rsid w:val="22E9563A"/>
    <w:rsid w:val="23445A19"/>
    <w:rsid w:val="236275B3"/>
    <w:rsid w:val="23E91164"/>
    <w:rsid w:val="23F06A65"/>
    <w:rsid w:val="2400794D"/>
    <w:rsid w:val="24290473"/>
    <w:rsid w:val="246B7FE0"/>
    <w:rsid w:val="24702B0D"/>
    <w:rsid w:val="24955F23"/>
    <w:rsid w:val="24E30D4C"/>
    <w:rsid w:val="253C3AF8"/>
    <w:rsid w:val="253D0ADB"/>
    <w:rsid w:val="25AE75B3"/>
    <w:rsid w:val="25E64380"/>
    <w:rsid w:val="25E73704"/>
    <w:rsid w:val="265109D9"/>
    <w:rsid w:val="26FD2AF1"/>
    <w:rsid w:val="270516CB"/>
    <w:rsid w:val="275208D3"/>
    <w:rsid w:val="275E0820"/>
    <w:rsid w:val="27744FD3"/>
    <w:rsid w:val="27761A12"/>
    <w:rsid w:val="278800FB"/>
    <w:rsid w:val="27CB613F"/>
    <w:rsid w:val="28515F21"/>
    <w:rsid w:val="28B21D88"/>
    <w:rsid w:val="28FF4EC8"/>
    <w:rsid w:val="292438AF"/>
    <w:rsid w:val="29BA55FD"/>
    <w:rsid w:val="29C94C57"/>
    <w:rsid w:val="29CD5D80"/>
    <w:rsid w:val="29D11F0C"/>
    <w:rsid w:val="29F90E69"/>
    <w:rsid w:val="2A080479"/>
    <w:rsid w:val="2A4072F1"/>
    <w:rsid w:val="2A8D24A0"/>
    <w:rsid w:val="2AA45DE1"/>
    <w:rsid w:val="2AEA519C"/>
    <w:rsid w:val="2AF30558"/>
    <w:rsid w:val="2B3C312E"/>
    <w:rsid w:val="2B473E33"/>
    <w:rsid w:val="2B5D7705"/>
    <w:rsid w:val="2B661C51"/>
    <w:rsid w:val="2B6B037C"/>
    <w:rsid w:val="2B8C078B"/>
    <w:rsid w:val="2BCF58D9"/>
    <w:rsid w:val="2BE304F1"/>
    <w:rsid w:val="2C9304F9"/>
    <w:rsid w:val="2CAB2540"/>
    <w:rsid w:val="2CBA333D"/>
    <w:rsid w:val="2CD72262"/>
    <w:rsid w:val="2CD97199"/>
    <w:rsid w:val="2D4F029B"/>
    <w:rsid w:val="2D803A77"/>
    <w:rsid w:val="2D8172B3"/>
    <w:rsid w:val="2D896B80"/>
    <w:rsid w:val="2D9A159D"/>
    <w:rsid w:val="2DA277A9"/>
    <w:rsid w:val="2DA97136"/>
    <w:rsid w:val="2DC57726"/>
    <w:rsid w:val="2DE419E3"/>
    <w:rsid w:val="2E086FDB"/>
    <w:rsid w:val="2E1731CE"/>
    <w:rsid w:val="2E2331A5"/>
    <w:rsid w:val="2E6F73C4"/>
    <w:rsid w:val="2EE21952"/>
    <w:rsid w:val="2F002618"/>
    <w:rsid w:val="2F3B2F22"/>
    <w:rsid w:val="2FD567A8"/>
    <w:rsid w:val="2FEC769B"/>
    <w:rsid w:val="3069794D"/>
    <w:rsid w:val="308176B8"/>
    <w:rsid w:val="30913DAE"/>
    <w:rsid w:val="30EA7A70"/>
    <w:rsid w:val="30F173C0"/>
    <w:rsid w:val="30FF4BD6"/>
    <w:rsid w:val="31024763"/>
    <w:rsid w:val="31247F49"/>
    <w:rsid w:val="312625C0"/>
    <w:rsid w:val="31533A86"/>
    <w:rsid w:val="31621EA5"/>
    <w:rsid w:val="31851086"/>
    <w:rsid w:val="318E7433"/>
    <w:rsid w:val="31900CD1"/>
    <w:rsid w:val="31AF4B3C"/>
    <w:rsid w:val="32A92EC5"/>
    <w:rsid w:val="32B04D3E"/>
    <w:rsid w:val="32B714C4"/>
    <w:rsid w:val="32BD4DD2"/>
    <w:rsid w:val="33000E5E"/>
    <w:rsid w:val="33121920"/>
    <w:rsid w:val="33216C1B"/>
    <w:rsid w:val="332760A4"/>
    <w:rsid w:val="33A23E8B"/>
    <w:rsid w:val="33CE535A"/>
    <w:rsid w:val="3418538D"/>
    <w:rsid w:val="34713AA1"/>
    <w:rsid w:val="347A6ECD"/>
    <w:rsid w:val="34976C8E"/>
    <w:rsid w:val="34B75E43"/>
    <w:rsid w:val="34D04CC9"/>
    <w:rsid w:val="34DC32B0"/>
    <w:rsid w:val="351543D1"/>
    <w:rsid w:val="355456F9"/>
    <w:rsid w:val="356D1DD3"/>
    <w:rsid w:val="358C6B02"/>
    <w:rsid w:val="35D35A45"/>
    <w:rsid w:val="35E05962"/>
    <w:rsid w:val="35E426E2"/>
    <w:rsid w:val="35F52076"/>
    <w:rsid w:val="36396579"/>
    <w:rsid w:val="36526FF7"/>
    <w:rsid w:val="365E43A3"/>
    <w:rsid w:val="3687008C"/>
    <w:rsid w:val="369C15F8"/>
    <w:rsid w:val="369F64EA"/>
    <w:rsid w:val="36AE28D6"/>
    <w:rsid w:val="3724689C"/>
    <w:rsid w:val="37A7338F"/>
    <w:rsid w:val="37BF782F"/>
    <w:rsid w:val="37DE18BA"/>
    <w:rsid w:val="37E17071"/>
    <w:rsid w:val="3853408D"/>
    <w:rsid w:val="3891514D"/>
    <w:rsid w:val="38E957D8"/>
    <w:rsid w:val="390B1107"/>
    <w:rsid w:val="39611B98"/>
    <w:rsid w:val="396D083B"/>
    <w:rsid w:val="397E7AC9"/>
    <w:rsid w:val="39893BBB"/>
    <w:rsid w:val="39C26A70"/>
    <w:rsid w:val="3A7D7014"/>
    <w:rsid w:val="3AA84433"/>
    <w:rsid w:val="3AD86B3F"/>
    <w:rsid w:val="3AED57E2"/>
    <w:rsid w:val="3B17317E"/>
    <w:rsid w:val="3B311491"/>
    <w:rsid w:val="3B483A96"/>
    <w:rsid w:val="3B532B3A"/>
    <w:rsid w:val="3B580EA8"/>
    <w:rsid w:val="3BA143D1"/>
    <w:rsid w:val="3BA440D8"/>
    <w:rsid w:val="3BA444DC"/>
    <w:rsid w:val="3BB04B51"/>
    <w:rsid w:val="3BBD144A"/>
    <w:rsid w:val="3BF108F3"/>
    <w:rsid w:val="3C023DC7"/>
    <w:rsid w:val="3C13454E"/>
    <w:rsid w:val="3C141536"/>
    <w:rsid w:val="3C966CF4"/>
    <w:rsid w:val="3C9710DB"/>
    <w:rsid w:val="3CA11248"/>
    <w:rsid w:val="3CA76E85"/>
    <w:rsid w:val="3CA939DB"/>
    <w:rsid w:val="3CDC1EE1"/>
    <w:rsid w:val="3CEC55E0"/>
    <w:rsid w:val="3D022BB6"/>
    <w:rsid w:val="3D4A522B"/>
    <w:rsid w:val="3D502CC4"/>
    <w:rsid w:val="3D530039"/>
    <w:rsid w:val="3D5A3AAE"/>
    <w:rsid w:val="3D6E6A95"/>
    <w:rsid w:val="3DA3375E"/>
    <w:rsid w:val="3DB853F1"/>
    <w:rsid w:val="3DDA3A16"/>
    <w:rsid w:val="3E4B7F33"/>
    <w:rsid w:val="3E5E14D7"/>
    <w:rsid w:val="3E5F58EB"/>
    <w:rsid w:val="3E750306"/>
    <w:rsid w:val="3EC42046"/>
    <w:rsid w:val="3EF33778"/>
    <w:rsid w:val="3F130A68"/>
    <w:rsid w:val="3F5E50C0"/>
    <w:rsid w:val="3F7C74AB"/>
    <w:rsid w:val="3F872ED3"/>
    <w:rsid w:val="3FBA3644"/>
    <w:rsid w:val="3FE418E3"/>
    <w:rsid w:val="3FE43131"/>
    <w:rsid w:val="402C50BF"/>
    <w:rsid w:val="402C5979"/>
    <w:rsid w:val="40687C53"/>
    <w:rsid w:val="40741F15"/>
    <w:rsid w:val="40756BC4"/>
    <w:rsid w:val="40A56F02"/>
    <w:rsid w:val="40B56015"/>
    <w:rsid w:val="40BD521A"/>
    <w:rsid w:val="40C25622"/>
    <w:rsid w:val="413C03DF"/>
    <w:rsid w:val="41585548"/>
    <w:rsid w:val="415A5705"/>
    <w:rsid w:val="41910D27"/>
    <w:rsid w:val="419F4BB1"/>
    <w:rsid w:val="41B553F5"/>
    <w:rsid w:val="41C772ED"/>
    <w:rsid w:val="41F72B97"/>
    <w:rsid w:val="41FB2B79"/>
    <w:rsid w:val="42045F73"/>
    <w:rsid w:val="421A3F46"/>
    <w:rsid w:val="424C055A"/>
    <w:rsid w:val="42630E64"/>
    <w:rsid w:val="427B5558"/>
    <w:rsid w:val="42912D63"/>
    <w:rsid w:val="42C4645F"/>
    <w:rsid w:val="42E1000B"/>
    <w:rsid w:val="42F10976"/>
    <w:rsid w:val="432B5FE0"/>
    <w:rsid w:val="439A6D11"/>
    <w:rsid w:val="43A75A2C"/>
    <w:rsid w:val="43A95BCE"/>
    <w:rsid w:val="43BD793B"/>
    <w:rsid w:val="443461ED"/>
    <w:rsid w:val="443946A5"/>
    <w:rsid w:val="448B4811"/>
    <w:rsid w:val="44E66896"/>
    <w:rsid w:val="45095F87"/>
    <w:rsid w:val="45223339"/>
    <w:rsid w:val="45413A23"/>
    <w:rsid w:val="454B2210"/>
    <w:rsid w:val="455942CA"/>
    <w:rsid w:val="456F1E2B"/>
    <w:rsid w:val="459855AD"/>
    <w:rsid w:val="45B064B1"/>
    <w:rsid w:val="461A0AA2"/>
    <w:rsid w:val="465951B9"/>
    <w:rsid w:val="46786920"/>
    <w:rsid w:val="467D1209"/>
    <w:rsid w:val="469374C2"/>
    <w:rsid w:val="46D71C8F"/>
    <w:rsid w:val="4778247F"/>
    <w:rsid w:val="477F7FA6"/>
    <w:rsid w:val="47A905EF"/>
    <w:rsid w:val="47A92A70"/>
    <w:rsid w:val="47E62B3B"/>
    <w:rsid w:val="47F339BD"/>
    <w:rsid w:val="48174809"/>
    <w:rsid w:val="48263ADC"/>
    <w:rsid w:val="487829A9"/>
    <w:rsid w:val="48B517BF"/>
    <w:rsid w:val="48E05F8A"/>
    <w:rsid w:val="49052DFD"/>
    <w:rsid w:val="494E4B30"/>
    <w:rsid w:val="495E692E"/>
    <w:rsid w:val="497905A4"/>
    <w:rsid w:val="49FC107E"/>
    <w:rsid w:val="4A1836BA"/>
    <w:rsid w:val="4A2B5DE5"/>
    <w:rsid w:val="4A40665D"/>
    <w:rsid w:val="4A695F79"/>
    <w:rsid w:val="4B0A7B96"/>
    <w:rsid w:val="4B184D15"/>
    <w:rsid w:val="4B374DE4"/>
    <w:rsid w:val="4B801ABC"/>
    <w:rsid w:val="4BAA561E"/>
    <w:rsid w:val="4BCD1492"/>
    <w:rsid w:val="4BDF7510"/>
    <w:rsid w:val="4BFC4697"/>
    <w:rsid w:val="4C49666D"/>
    <w:rsid w:val="4C7C0DCB"/>
    <w:rsid w:val="4C8176AE"/>
    <w:rsid w:val="4C902BCE"/>
    <w:rsid w:val="4C9F7125"/>
    <w:rsid w:val="4CA0231A"/>
    <w:rsid w:val="4CA31BE1"/>
    <w:rsid w:val="4D551E49"/>
    <w:rsid w:val="4D7A6013"/>
    <w:rsid w:val="4DCC5C6B"/>
    <w:rsid w:val="4DF34294"/>
    <w:rsid w:val="4E2510D4"/>
    <w:rsid w:val="4E611F1B"/>
    <w:rsid w:val="4E791EEB"/>
    <w:rsid w:val="4E881C9E"/>
    <w:rsid w:val="4E8B6785"/>
    <w:rsid w:val="4ECA6515"/>
    <w:rsid w:val="4EEC27C8"/>
    <w:rsid w:val="4F1C556E"/>
    <w:rsid w:val="4F375752"/>
    <w:rsid w:val="4F892DB4"/>
    <w:rsid w:val="4F9453D5"/>
    <w:rsid w:val="4FAB03B8"/>
    <w:rsid w:val="4FC24498"/>
    <w:rsid w:val="4FC42148"/>
    <w:rsid w:val="50045749"/>
    <w:rsid w:val="503366C8"/>
    <w:rsid w:val="50500011"/>
    <w:rsid w:val="507756CA"/>
    <w:rsid w:val="50A13FD8"/>
    <w:rsid w:val="50F86575"/>
    <w:rsid w:val="510E214E"/>
    <w:rsid w:val="511A226E"/>
    <w:rsid w:val="513D2B16"/>
    <w:rsid w:val="51985F5E"/>
    <w:rsid w:val="519A2242"/>
    <w:rsid w:val="51BD7415"/>
    <w:rsid w:val="51E53988"/>
    <w:rsid w:val="521814F8"/>
    <w:rsid w:val="52387A29"/>
    <w:rsid w:val="523C795B"/>
    <w:rsid w:val="52655F0A"/>
    <w:rsid w:val="526906BA"/>
    <w:rsid w:val="529C29C9"/>
    <w:rsid w:val="52A7771E"/>
    <w:rsid w:val="52D75C07"/>
    <w:rsid w:val="52F37637"/>
    <w:rsid w:val="5306391F"/>
    <w:rsid w:val="53220920"/>
    <w:rsid w:val="534755AE"/>
    <w:rsid w:val="53842064"/>
    <w:rsid w:val="53C7291A"/>
    <w:rsid w:val="53CA0907"/>
    <w:rsid w:val="540F52B4"/>
    <w:rsid w:val="542C3A85"/>
    <w:rsid w:val="54810BF7"/>
    <w:rsid w:val="54A1029F"/>
    <w:rsid w:val="54CA21E4"/>
    <w:rsid w:val="559026D0"/>
    <w:rsid w:val="55AE6887"/>
    <w:rsid w:val="55C7640A"/>
    <w:rsid w:val="55D7631D"/>
    <w:rsid w:val="5613665B"/>
    <w:rsid w:val="56336393"/>
    <w:rsid w:val="564B4558"/>
    <w:rsid w:val="565F513E"/>
    <w:rsid w:val="566C3023"/>
    <w:rsid w:val="56997013"/>
    <w:rsid w:val="56BB6A85"/>
    <w:rsid w:val="578D4935"/>
    <w:rsid w:val="579D702C"/>
    <w:rsid w:val="57EE23EF"/>
    <w:rsid w:val="580B41B8"/>
    <w:rsid w:val="58494B51"/>
    <w:rsid w:val="58C2573D"/>
    <w:rsid w:val="594D28E4"/>
    <w:rsid w:val="595C2C8C"/>
    <w:rsid w:val="597920D5"/>
    <w:rsid w:val="59943636"/>
    <w:rsid w:val="59D30810"/>
    <w:rsid w:val="5A256094"/>
    <w:rsid w:val="5A2E02EF"/>
    <w:rsid w:val="5A4272C8"/>
    <w:rsid w:val="5A6D6703"/>
    <w:rsid w:val="5A8361BC"/>
    <w:rsid w:val="5AB97489"/>
    <w:rsid w:val="5ADE2A18"/>
    <w:rsid w:val="5AFA5D25"/>
    <w:rsid w:val="5B054F56"/>
    <w:rsid w:val="5B2951E4"/>
    <w:rsid w:val="5B3A6F50"/>
    <w:rsid w:val="5B4707DE"/>
    <w:rsid w:val="5B5559F0"/>
    <w:rsid w:val="5B8C6F93"/>
    <w:rsid w:val="5B8F1AC6"/>
    <w:rsid w:val="5BBF632B"/>
    <w:rsid w:val="5BFF58A7"/>
    <w:rsid w:val="5C1F23E4"/>
    <w:rsid w:val="5C611C02"/>
    <w:rsid w:val="5CB31243"/>
    <w:rsid w:val="5CBB01A6"/>
    <w:rsid w:val="5CD84B8B"/>
    <w:rsid w:val="5D2D3CA9"/>
    <w:rsid w:val="5D345E3C"/>
    <w:rsid w:val="5D4D3AD8"/>
    <w:rsid w:val="5D72380D"/>
    <w:rsid w:val="5D8257D4"/>
    <w:rsid w:val="5D970657"/>
    <w:rsid w:val="5DA1563D"/>
    <w:rsid w:val="5DAC2EE2"/>
    <w:rsid w:val="5DAF723B"/>
    <w:rsid w:val="5E2D667A"/>
    <w:rsid w:val="5E632172"/>
    <w:rsid w:val="5E733FA7"/>
    <w:rsid w:val="5E8617ED"/>
    <w:rsid w:val="5E8F53AB"/>
    <w:rsid w:val="5F2E4160"/>
    <w:rsid w:val="5F6324A9"/>
    <w:rsid w:val="5F660A30"/>
    <w:rsid w:val="5F750F56"/>
    <w:rsid w:val="5F772F50"/>
    <w:rsid w:val="5FB4396A"/>
    <w:rsid w:val="5FD10CB5"/>
    <w:rsid w:val="602559EB"/>
    <w:rsid w:val="603F368E"/>
    <w:rsid w:val="604C0F1E"/>
    <w:rsid w:val="6098577D"/>
    <w:rsid w:val="60A16758"/>
    <w:rsid w:val="60CD310B"/>
    <w:rsid w:val="60D53AB2"/>
    <w:rsid w:val="61382C3B"/>
    <w:rsid w:val="615F7A59"/>
    <w:rsid w:val="61723285"/>
    <w:rsid w:val="617707F3"/>
    <w:rsid w:val="619C08C5"/>
    <w:rsid w:val="61D8368B"/>
    <w:rsid w:val="61E874D5"/>
    <w:rsid w:val="6217210D"/>
    <w:rsid w:val="62273C0E"/>
    <w:rsid w:val="62507342"/>
    <w:rsid w:val="6296062A"/>
    <w:rsid w:val="62B628F5"/>
    <w:rsid w:val="62B655B8"/>
    <w:rsid w:val="62D555FD"/>
    <w:rsid w:val="62E22A0D"/>
    <w:rsid w:val="62FB63DF"/>
    <w:rsid w:val="634A68F0"/>
    <w:rsid w:val="6354736C"/>
    <w:rsid w:val="63702D3E"/>
    <w:rsid w:val="637057A1"/>
    <w:rsid w:val="637F660C"/>
    <w:rsid w:val="63896ED4"/>
    <w:rsid w:val="63CE294A"/>
    <w:rsid w:val="63CF036B"/>
    <w:rsid w:val="655546DE"/>
    <w:rsid w:val="65632D46"/>
    <w:rsid w:val="659A1347"/>
    <w:rsid w:val="65B50F7D"/>
    <w:rsid w:val="65DA3EC9"/>
    <w:rsid w:val="660B40C0"/>
    <w:rsid w:val="661B3FC4"/>
    <w:rsid w:val="66840C96"/>
    <w:rsid w:val="66916E5A"/>
    <w:rsid w:val="673C1591"/>
    <w:rsid w:val="67D229CC"/>
    <w:rsid w:val="681000B7"/>
    <w:rsid w:val="68112481"/>
    <w:rsid w:val="68742B91"/>
    <w:rsid w:val="68992568"/>
    <w:rsid w:val="68B504CE"/>
    <w:rsid w:val="68CD2245"/>
    <w:rsid w:val="68CE5364"/>
    <w:rsid w:val="690C496D"/>
    <w:rsid w:val="695F37FF"/>
    <w:rsid w:val="695F68AA"/>
    <w:rsid w:val="69903665"/>
    <w:rsid w:val="6998379E"/>
    <w:rsid w:val="69A9372B"/>
    <w:rsid w:val="69B61201"/>
    <w:rsid w:val="69F219CB"/>
    <w:rsid w:val="6A0E1129"/>
    <w:rsid w:val="6A181710"/>
    <w:rsid w:val="6A2A6E64"/>
    <w:rsid w:val="6A3608EF"/>
    <w:rsid w:val="6A456909"/>
    <w:rsid w:val="6A7C04B1"/>
    <w:rsid w:val="6ADC7E00"/>
    <w:rsid w:val="6AE42839"/>
    <w:rsid w:val="6AEB7375"/>
    <w:rsid w:val="6AED088F"/>
    <w:rsid w:val="6AF44907"/>
    <w:rsid w:val="6B4D64B8"/>
    <w:rsid w:val="6B6A4D1C"/>
    <w:rsid w:val="6B826157"/>
    <w:rsid w:val="6B842DCE"/>
    <w:rsid w:val="6B8447A6"/>
    <w:rsid w:val="6BB32FE9"/>
    <w:rsid w:val="6BDD5AB7"/>
    <w:rsid w:val="6BF1439D"/>
    <w:rsid w:val="6C036F78"/>
    <w:rsid w:val="6C0E0EE7"/>
    <w:rsid w:val="6C28518B"/>
    <w:rsid w:val="6C62713D"/>
    <w:rsid w:val="6C6B4656"/>
    <w:rsid w:val="6C7E16D6"/>
    <w:rsid w:val="6C8B6790"/>
    <w:rsid w:val="6CCA7B7D"/>
    <w:rsid w:val="6CCD0A53"/>
    <w:rsid w:val="6CDC0F1D"/>
    <w:rsid w:val="6D1B0234"/>
    <w:rsid w:val="6D6B2660"/>
    <w:rsid w:val="6DA07D08"/>
    <w:rsid w:val="6DB02000"/>
    <w:rsid w:val="6DB15BF4"/>
    <w:rsid w:val="6DED0979"/>
    <w:rsid w:val="6DF95276"/>
    <w:rsid w:val="6E0C2545"/>
    <w:rsid w:val="6E681F3A"/>
    <w:rsid w:val="6E742F05"/>
    <w:rsid w:val="6E885232"/>
    <w:rsid w:val="6EAB0CAC"/>
    <w:rsid w:val="6EB7442A"/>
    <w:rsid w:val="6EBF0930"/>
    <w:rsid w:val="6EFA7A7B"/>
    <w:rsid w:val="6F4C1CD0"/>
    <w:rsid w:val="6F5130F0"/>
    <w:rsid w:val="6FC41A8B"/>
    <w:rsid w:val="70123433"/>
    <w:rsid w:val="70167571"/>
    <w:rsid w:val="70192264"/>
    <w:rsid w:val="70481273"/>
    <w:rsid w:val="707B76E7"/>
    <w:rsid w:val="70D03D84"/>
    <w:rsid w:val="70DB08EA"/>
    <w:rsid w:val="70E029EA"/>
    <w:rsid w:val="70F24A0E"/>
    <w:rsid w:val="712215E4"/>
    <w:rsid w:val="714362CA"/>
    <w:rsid w:val="7158135C"/>
    <w:rsid w:val="716F1939"/>
    <w:rsid w:val="718C2D7D"/>
    <w:rsid w:val="71DB5149"/>
    <w:rsid w:val="71F4531E"/>
    <w:rsid w:val="71FF6E6B"/>
    <w:rsid w:val="720E436C"/>
    <w:rsid w:val="721707F0"/>
    <w:rsid w:val="72297DE0"/>
    <w:rsid w:val="723044B4"/>
    <w:rsid w:val="723143B2"/>
    <w:rsid w:val="725D6A9E"/>
    <w:rsid w:val="72A1291F"/>
    <w:rsid w:val="72A92475"/>
    <w:rsid w:val="72AE1E81"/>
    <w:rsid w:val="72B81AB8"/>
    <w:rsid w:val="72C614BE"/>
    <w:rsid w:val="72DA46E1"/>
    <w:rsid w:val="737E5792"/>
    <w:rsid w:val="73994E86"/>
    <w:rsid w:val="73BE35BD"/>
    <w:rsid w:val="73EB2D9E"/>
    <w:rsid w:val="73F42594"/>
    <w:rsid w:val="74124183"/>
    <w:rsid w:val="741A7907"/>
    <w:rsid w:val="74234938"/>
    <w:rsid w:val="743E7D06"/>
    <w:rsid w:val="7460452F"/>
    <w:rsid w:val="749877D6"/>
    <w:rsid w:val="74A0633A"/>
    <w:rsid w:val="74A50521"/>
    <w:rsid w:val="74C84485"/>
    <w:rsid w:val="74D225C9"/>
    <w:rsid w:val="74D7343F"/>
    <w:rsid w:val="74F15734"/>
    <w:rsid w:val="7501410F"/>
    <w:rsid w:val="750D370F"/>
    <w:rsid w:val="75163F00"/>
    <w:rsid w:val="75402615"/>
    <w:rsid w:val="754B78DC"/>
    <w:rsid w:val="75A21064"/>
    <w:rsid w:val="75C6243B"/>
    <w:rsid w:val="75CE1F41"/>
    <w:rsid w:val="75F471FB"/>
    <w:rsid w:val="75F5725D"/>
    <w:rsid w:val="76154C3E"/>
    <w:rsid w:val="76A143FD"/>
    <w:rsid w:val="76BC2AAD"/>
    <w:rsid w:val="76C37D1B"/>
    <w:rsid w:val="76DC2553"/>
    <w:rsid w:val="770B0168"/>
    <w:rsid w:val="770E1530"/>
    <w:rsid w:val="773C4B66"/>
    <w:rsid w:val="775E22B9"/>
    <w:rsid w:val="77C82A39"/>
    <w:rsid w:val="77FC5E73"/>
    <w:rsid w:val="782D6355"/>
    <w:rsid w:val="783262C6"/>
    <w:rsid w:val="784B3FA3"/>
    <w:rsid w:val="786B0786"/>
    <w:rsid w:val="78873D9C"/>
    <w:rsid w:val="78D720DD"/>
    <w:rsid w:val="78E07914"/>
    <w:rsid w:val="78F25338"/>
    <w:rsid w:val="78FE0032"/>
    <w:rsid w:val="791407D5"/>
    <w:rsid w:val="7918585B"/>
    <w:rsid w:val="79294AA0"/>
    <w:rsid w:val="792C2DD0"/>
    <w:rsid w:val="79AA6BAD"/>
    <w:rsid w:val="7A2C02B3"/>
    <w:rsid w:val="7A2E3B9B"/>
    <w:rsid w:val="7A525883"/>
    <w:rsid w:val="7A567D35"/>
    <w:rsid w:val="7AE07D4D"/>
    <w:rsid w:val="7AFC03C0"/>
    <w:rsid w:val="7AFF1B33"/>
    <w:rsid w:val="7B0C5820"/>
    <w:rsid w:val="7B122E1E"/>
    <w:rsid w:val="7B3C3610"/>
    <w:rsid w:val="7B97253A"/>
    <w:rsid w:val="7BBC1422"/>
    <w:rsid w:val="7BC20A0F"/>
    <w:rsid w:val="7BCF20F6"/>
    <w:rsid w:val="7BE86F4C"/>
    <w:rsid w:val="7BE947E0"/>
    <w:rsid w:val="7C2472D9"/>
    <w:rsid w:val="7C3B6436"/>
    <w:rsid w:val="7C743DDA"/>
    <w:rsid w:val="7CB074BC"/>
    <w:rsid w:val="7CB81233"/>
    <w:rsid w:val="7CDA0445"/>
    <w:rsid w:val="7D10079A"/>
    <w:rsid w:val="7D143FB8"/>
    <w:rsid w:val="7D2C5E6C"/>
    <w:rsid w:val="7D551542"/>
    <w:rsid w:val="7D995B03"/>
    <w:rsid w:val="7DB34AB2"/>
    <w:rsid w:val="7DC17692"/>
    <w:rsid w:val="7DF63BB9"/>
    <w:rsid w:val="7E3B4563"/>
    <w:rsid w:val="7E657827"/>
    <w:rsid w:val="7E7460F5"/>
    <w:rsid w:val="7ECA522A"/>
    <w:rsid w:val="7ECC5017"/>
    <w:rsid w:val="7ED630B5"/>
    <w:rsid w:val="7F290446"/>
    <w:rsid w:val="7F381708"/>
    <w:rsid w:val="7F47074F"/>
    <w:rsid w:val="7F4763A3"/>
    <w:rsid w:val="7F753C77"/>
    <w:rsid w:val="7F7B6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autoSpaceDE w:val="0"/>
      <w:autoSpaceDN w:val="0"/>
      <w:adjustRightInd w:val="0"/>
      <w:snapToGrid w:val="0"/>
      <w:spacing w:before="120" w:after="120" w:line="440" w:lineRule="atLeast"/>
      <w:jc w:val="center"/>
      <w:outlineLvl w:val="0"/>
    </w:pPr>
    <w:rPr>
      <w:rFonts w:eastAsia="黑体"/>
      <w:b/>
      <w:bCs/>
      <w:sz w:val="32"/>
      <w:szCs w:val="30"/>
    </w:rPr>
  </w:style>
  <w:style w:type="paragraph" w:styleId="2">
    <w:name w:val="heading 2"/>
    <w:basedOn w:val="1"/>
    <w:next w:val="3"/>
    <w:qFormat/>
    <w:uiPriority w:val="0"/>
    <w:pPr>
      <w:numPr>
        <w:ilvl w:val="0"/>
        <w:numId w:val="2"/>
      </w:numPr>
      <w:tabs>
        <w:tab w:val="left" w:pos="480"/>
      </w:tabs>
      <w:snapToGrid w:val="0"/>
      <w:spacing w:before="120" w:after="120" w:line="400" w:lineRule="exact"/>
      <w:jc w:val="left"/>
      <w:outlineLvl w:val="1"/>
    </w:pPr>
    <w:rPr>
      <w:rFonts w:ascii="黑体" w:eastAsia="黑体"/>
      <w:b/>
      <w:kern w:val="0"/>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15" w:lineRule="atLeast"/>
      <w:ind w:firstLine="420"/>
      <w:textAlignment w:val="baseline"/>
    </w:pPr>
    <w:rPr>
      <w:rFonts w:ascii="宋体"/>
      <w:kern w:val="0"/>
      <w:sz w:val="24"/>
      <w:szCs w:val="20"/>
    </w:rPr>
  </w:style>
  <w:style w:type="paragraph" w:styleId="5">
    <w:name w:val="Body Text"/>
    <w:basedOn w:val="1"/>
    <w:next w:val="6"/>
    <w:qFormat/>
    <w:uiPriority w:val="0"/>
    <w:pPr>
      <w:spacing w:after="120"/>
    </w:pPr>
  </w:style>
  <w:style w:type="paragraph" w:styleId="6">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paragraph" w:styleId="7">
    <w:name w:val="Body Text Indent"/>
    <w:basedOn w:val="1"/>
    <w:unhideWhenUsed/>
    <w:qFormat/>
    <w:uiPriority w:val="99"/>
    <w:pPr>
      <w:spacing w:after="120"/>
      <w:ind w:left="420" w:leftChars="200"/>
    </w:pPr>
  </w:style>
  <w:style w:type="paragraph" w:styleId="8">
    <w:name w:val="Body Text Indent 2"/>
    <w:basedOn w:val="1"/>
    <w:qFormat/>
    <w:uiPriority w:val="0"/>
    <w:pPr>
      <w:ind w:firstLine="540"/>
    </w:pPr>
    <w:rPr>
      <w:sz w:val="28"/>
      <w:szCs w:val="20"/>
    </w:rPr>
  </w:style>
  <w:style w:type="paragraph" w:styleId="9">
    <w:name w:val="Balloon Text"/>
    <w:basedOn w:val="1"/>
    <w:link w:val="25"/>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296"/>
      </w:tabs>
      <w:snapToGrid w:val="0"/>
      <w:spacing w:line="360" w:lineRule="auto"/>
      <w:ind w:firstLine="480" w:firstLineChars="200"/>
    </w:pPr>
    <w:rPr>
      <w:sz w:val="24"/>
    </w:rPr>
  </w:style>
  <w:style w:type="paragraph" w:styleId="13">
    <w:name w:val="toc 2"/>
    <w:basedOn w:val="1"/>
    <w:next w:val="1"/>
    <w:qFormat/>
    <w:uiPriority w:val="0"/>
    <w:pPr>
      <w:ind w:left="420" w:leftChars="200"/>
    </w:pPr>
  </w:style>
  <w:style w:type="paragraph" w:styleId="14">
    <w:name w:val="Body Text First Indent 2"/>
    <w:basedOn w:val="7"/>
    <w:qFormat/>
    <w:uiPriority w:val="0"/>
    <w:pPr>
      <w:ind w:firstLine="420" w:firstLineChars="200"/>
    </w:pPr>
    <w:rPr>
      <w:rFonts w:ascii="Calibri" w:hAnsi="Calibri" w:eastAsia="宋体" w:cs="Times New Roman"/>
      <w:sz w:val="30"/>
    </w:rPr>
  </w:style>
  <w:style w:type="character" w:styleId="17">
    <w:name w:val="page number"/>
    <w:basedOn w:val="16"/>
    <w:qFormat/>
    <w:uiPriority w:val="0"/>
  </w:style>
  <w:style w:type="paragraph" w:customStyle="1" w:styleId="18">
    <w:name w:val="标题A"/>
    <w:basedOn w:val="1"/>
    <w:qFormat/>
    <w:uiPriority w:val="0"/>
    <w:pPr>
      <w:adjustRightInd w:val="0"/>
      <w:snapToGrid w:val="0"/>
      <w:spacing w:before="120" w:after="156" w:afterLines="50"/>
      <w:ind w:firstLine="321" w:firstLineChars="100"/>
      <w:jc w:val="center"/>
      <w:textAlignment w:val="baseline"/>
    </w:pPr>
    <w:rPr>
      <w:rFonts w:eastAsia="黑体"/>
      <w:b/>
      <w:bCs/>
      <w:kern w:val="0"/>
      <w:sz w:val="32"/>
      <w:szCs w:val="32"/>
    </w:rPr>
  </w:style>
  <w:style w:type="paragraph" w:customStyle="1" w:styleId="19">
    <w:name w:val="纯文本1"/>
    <w:basedOn w:val="1"/>
    <w:qFormat/>
    <w:uiPriority w:val="0"/>
    <w:rPr>
      <w:rFonts w:ascii="宋体" w:hAnsi="Courier New"/>
      <w:sz w:val="28"/>
    </w:rPr>
  </w:style>
  <w:style w:type="paragraph" w:customStyle="1" w:styleId="20">
    <w:name w:val="标题 2 + 黑色 行距: 1.5 倍行距"/>
    <w:basedOn w:val="2"/>
    <w:qFormat/>
    <w:uiPriority w:val="0"/>
    <w:pPr>
      <w:tabs>
        <w:tab w:val="clear" w:pos="480"/>
      </w:tabs>
      <w:spacing w:line="360" w:lineRule="auto"/>
    </w:pPr>
    <w:rPr>
      <w:rFonts w:ascii="Arial" w:hAnsi="Arial" w:eastAsia="宋体" w:cs="宋体"/>
      <w:color w:val="000000"/>
      <w:szCs w:val="20"/>
    </w:rPr>
  </w:style>
  <w:style w:type="paragraph" w:customStyle="1" w:styleId="21">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2">
    <w:name w:val="表格标题"/>
    <w:basedOn w:val="1"/>
    <w:qFormat/>
    <w:uiPriority w:val="0"/>
    <w:pPr>
      <w:adjustRightInd w:val="0"/>
      <w:snapToGrid w:val="0"/>
      <w:spacing w:after="156" w:afterLines="50"/>
      <w:jc w:val="center"/>
    </w:pPr>
    <w:rPr>
      <w:rFonts w:eastAsia="黑体"/>
      <w:bCs/>
      <w:sz w:val="32"/>
      <w:szCs w:val="32"/>
    </w:r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4">
    <w:name w:val="页眉 Char"/>
    <w:qFormat/>
    <w:uiPriority w:val="0"/>
    <w:rPr>
      <w:rFonts w:eastAsia="宋体"/>
      <w:kern w:val="2"/>
      <w:sz w:val="18"/>
      <w:szCs w:val="18"/>
      <w:lang w:val="en-US" w:eastAsia="zh-CN" w:bidi="ar-SA"/>
    </w:rPr>
  </w:style>
  <w:style w:type="character" w:customStyle="1" w:styleId="25">
    <w:name w:val="批注框文本 Char"/>
    <w:basedOn w:val="16"/>
    <w:link w:val="9"/>
    <w:qFormat/>
    <w:uiPriority w:val="0"/>
    <w:rPr>
      <w:kern w:val="2"/>
      <w:sz w:val="18"/>
      <w:szCs w:val="18"/>
    </w:rPr>
  </w:style>
  <w:style w:type="paragraph" w:customStyle="1" w:styleId="26">
    <w:name w:val="Normal_9"/>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27">
    <w:name w:val="55"/>
    <w:basedOn w:val="1"/>
    <w:qFormat/>
    <w:uiPriority w:val="0"/>
    <w:pPr>
      <w:adjustRightInd w:val="0"/>
      <w:spacing w:line="500" w:lineRule="exact"/>
      <w:ind w:firstLine="629"/>
    </w:pPr>
    <w:rPr>
      <w:rFonts w:ascii="仿宋_GB2312" w:eastAsia="仿宋_GB231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ct</Company>
  <Pages>1</Pages>
  <Words>2993</Words>
  <Characters>17066</Characters>
  <Lines>142</Lines>
  <Paragraphs>40</Paragraphs>
  <TotalTime>0</TotalTime>
  <ScaleCrop>false</ScaleCrop>
  <LinksUpToDate>false</LinksUpToDate>
  <CharactersWithSpaces>20019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2020-07-26T08:00:00Z</dcterms:created>
  <dc:creator>张一杨</dc:creator>
  <cp:lastModifiedBy>佐繎</cp:lastModifiedBy>
  <cp:lastPrinted>2020-07-27T00:47:00Z</cp:lastPrinted>
  <dcterms:modified xsi:type="dcterms:W3CDTF">2022-05-05T08:31:30Z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