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widowControl w:val="0"/>
        <w:jc w:val="center"/>
        <w:rPr>
          <w:rFonts w:asciiTheme="minorEastAsia" w:hAnsiTheme="minorEastAsia" w:eastAsiaTheme="minorEastAsia" w:cstheme="minorEastAsia"/>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lang w:val="en-US" w:eastAsia="zh-CN"/>
        </w:rPr>
        <w:t>川投（达州）燃气发电有限公司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lang w:val="en-US" w:eastAsia="zh-CN"/>
        </w:rPr>
        <w:t>联合循环机组负荷性能优化项目</w:t>
      </w:r>
      <w:bookmarkStart w:id="0" w:name="_Toc2191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44"/>
          <w:szCs w:val="44"/>
          <w:lang w:val="en-US" w:eastAsia="zh-CN"/>
        </w:rPr>
      </w:pPr>
      <w:r>
        <w:rPr>
          <w:rFonts w:hint="eastAsia" w:ascii="宋体" w:hAnsi="宋体" w:cs="宋体"/>
          <w:b/>
          <w:bCs w:val="0"/>
          <w:color w:val="auto"/>
          <w:sz w:val="44"/>
          <w:szCs w:val="44"/>
          <w:highlight w:val="none"/>
          <w:lang w:val="en-US" w:eastAsia="zh-CN"/>
        </w:rPr>
        <w:t>服务商</w:t>
      </w:r>
      <w:r>
        <w:rPr>
          <w:rFonts w:hint="eastAsia" w:ascii="宋体" w:hAnsi="宋体" w:eastAsia="宋体" w:cs="宋体"/>
          <w:b/>
          <w:bCs w:val="0"/>
          <w:sz w:val="44"/>
          <w:szCs w:val="44"/>
          <w:lang w:val="en-US" w:eastAsia="zh-CN"/>
        </w:rPr>
        <w:t>比选公告</w:t>
      </w:r>
      <w:bookmarkEnd w:id="0"/>
      <w:bookmarkStart w:id="5" w:name="_GoBack"/>
      <w:bookmarkEnd w:id="5"/>
    </w:p>
    <w:p>
      <w:pPr>
        <w:pStyle w:val="50"/>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outlineLvl w:val="9"/>
        <w:rPr>
          <w:rFonts w:hint="eastAsia" w:ascii="仿宋_GB2312" w:hAnsi="仿宋_GB2312" w:eastAsia="仿宋_GB2312" w:cs="仿宋_GB2312"/>
          <w:b w:val="0"/>
          <w:sz w:val="32"/>
          <w:szCs w:val="32"/>
        </w:rPr>
      </w:pPr>
      <w:bookmarkStart w:id="1" w:name="_Toc16393651"/>
      <w:bookmarkStart w:id="2" w:name="_Toc109212584"/>
      <w:bookmarkStart w:id="3" w:name="_Toc44141193"/>
      <w:bookmarkStart w:id="4" w:name="_Toc17186211"/>
      <w:r>
        <w:rPr>
          <w:rFonts w:hint="eastAsia" w:hAnsi="仿宋_GB2312" w:cs="仿宋_GB2312"/>
          <w:b w:val="0"/>
          <w:sz w:val="32"/>
          <w:szCs w:val="32"/>
          <w:lang w:eastAsia="zh-CN"/>
        </w:rPr>
        <w:t>川投（达州）燃气发电有限公司</w:t>
      </w:r>
      <w:r>
        <w:rPr>
          <w:rFonts w:hint="eastAsia" w:ascii="仿宋_GB2312" w:hAnsi="仿宋_GB2312" w:eastAsia="仿宋_GB2312" w:cs="仿宋_GB2312"/>
          <w:b w:val="0"/>
          <w:sz w:val="32"/>
          <w:szCs w:val="32"/>
        </w:rPr>
        <w:t>（以下简称</w:t>
      </w:r>
      <w:r>
        <w:rPr>
          <w:rFonts w:hint="eastAsia" w:hAnsi="仿宋_GB2312" w:cs="仿宋_GB2312"/>
          <w:b w:val="0"/>
          <w:sz w:val="32"/>
          <w:szCs w:val="32"/>
          <w:lang w:eastAsia="zh-CN"/>
        </w:rPr>
        <w:t>达州气电</w:t>
      </w:r>
      <w:r>
        <w:rPr>
          <w:rFonts w:hint="eastAsia" w:ascii="仿宋_GB2312" w:hAnsi="仿宋_GB2312" w:eastAsia="仿宋_GB2312" w:cs="仿宋_GB2312"/>
          <w:b w:val="0"/>
          <w:sz w:val="32"/>
          <w:szCs w:val="32"/>
        </w:rPr>
        <w:t>）现拟</w:t>
      </w:r>
      <w:r>
        <w:rPr>
          <w:rFonts w:hint="eastAsia" w:ascii="仿宋_GB2312" w:hAnsi="仿宋_GB2312" w:eastAsia="仿宋_GB2312" w:cs="仿宋_GB2312"/>
          <w:b w:val="0"/>
          <w:sz w:val="32"/>
          <w:szCs w:val="32"/>
          <w:lang w:val="en-US" w:eastAsia="zh-CN"/>
        </w:rPr>
        <w:t>对联合循环机组负荷性能进行优化，</w:t>
      </w:r>
      <w:r>
        <w:rPr>
          <w:rFonts w:hint="eastAsia" w:ascii="仿宋_GB2312" w:hAnsi="仿宋_GB2312" w:eastAsia="仿宋_GB2312" w:cs="仿宋_GB2312"/>
          <w:b w:val="0"/>
          <w:sz w:val="32"/>
          <w:szCs w:val="32"/>
        </w:rPr>
        <w:t>本项目采用公开比选方式选择确定</w:t>
      </w:r>
      <w:r>
        <w:rPr>
          <w:rFonts w:hint="eastAsia" w:ascii="仿宋_GB2312" w:hAnsi="仿宋_GB2312" w:eastAsia="仿宋_GB2312" w:cs="仿宋_GB2312"/>
          <w:b w:val="0"/>
          <w:sz w:val="32"/>
          <w:szCs w:val="32"/>
          <w:lang w:val="en-US" w:eastAsia="zh-CN"/>
        </w:rPr>
        <w:t>服务商</w:t>
      </w:r>
      <w:r>
        <w:rPr>
          <w:rFonts w:hint="eastAsia" w:ascii="仿宋_GB2312" w:hAnsi="仿宋_GB2312" w:eastAsia="仿宋_GB2312" w:cs="仿宋_GB2312"/>
          <w:b w:val="0"/>
          <w:sz w:val="32"/>
          <w:szCs w:val="32"/>
        </w:rPr>
        <w:t>，请有</w:t>
      </w:r>
      <w:r>
        <w:rPr>
          <w:rFonts w:hint="eastAsia" w:ascii="仿宋_GB2312" w:hAnsi="仿宋_GB2312" w:eastAsia="仿宋_GB2312" w:cs="仿宋_GB2312"/>
          <w:b w:val="0"/>
          <w:bCs/>
          <w:sz w:val="32"/>
          <w:szCs w:val="32"/>
        </w:rPr>
        <w:t>相关资质</w:t>
      </w:r>
      <w:r>
        <w:rPr>
          <w:rFonts w:hint="eastAsia" w:ascii="仿宋_GB2312" w:hAnsi="仿宋_GB2312" w:eastAsia="仿宋_GB2312" w:cs="仿宋_GB2312"/>
          <w:b w:val="0"/>
          <w:sz w:val="32"/>
          <w:szCs w:val="32"/>
        </w:rPr>
        <w:t>符合要求的单位报名参加。</w:t>
      </w:r>
    </w:p>
    <w:p>
      <w:pPr>
        <w:pStyle w:val="50"/>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hAnsi="仿宋_GB2312" w:cs="仿宋_GB2312"/>
          <w:bCs/>
          <w:sz w:val="32"/>
          <w:szCs w:val="32"/>
          <w:lang w:eastAsia="zh-CN"/>
        </w:rPr>
        <w:t>川投（达州）燃气发电有限公司</w:t>
      </w:r>
      <w:r>
        <w:rPr>
          <w:rFonts w:hint="eastAsia" w:ascii="仿宋_GB2312" w:hAnsi="仿宋_GB2312" w:eastAsia="仿宋_GB2312" w:cs="仿宋_GB2312"/>
          <w:bCs/>
          <w:sz w:val="32"/>
          <w:szCs w:val="32"/>
        </w:rPr>
        <w:t>基本情况</w:t>
      </w:r>
    </w:p>
    <w:p>
      <w:pPr>
        <w:keepNext w:val="0"/>
        <w:keepLines w:val="0"/>
        <w:pageBreakBefore w:val="0"/>
        <w:widowControl w:val="0"/>
        <w:tabs>
          <w:tab w:val="left" w:pos="0"/>
          <w:tab w:val="left" w:pos="8505"/>
        </w:tabs>
        <w:kinsoku/>
        <w:wordWrap/>
        <w:overflowPunct/>
        <w:topLinePunct w:val="0"/>
        <w:autoSpaceDE/>
        <w:autoSpaceDN/>
        <w:bidi w:val="0"/>
        <w:adjustRightInd/>
        <w:snapToGrid/>
        <w:spacing w:line="360" w:lineRule="auto"/>
        <w:ind w:left="-46" w:leftChars="-22"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川投（达州）燃气发电有限公司</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val="en-US" w:eastAsia="zh-CN"/>
        </w:rPr>
        <w:t>四川省达州市高新区斌郎街道桥坝社区7组，公司注册资本5亿元人民币，经营范围为电力投资开发、建设、生产经营和日常管理。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294" w:leftChars="200" w:hanging="874" w:hangingChars="272"/>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比选内容：</w:t>
      </w:r>
    </w:p>
    <w:p>
      <w:pPr>
        <w:spacing w:line="360" w:lineRule="auto"/>
        <w:ind w:firstLine="640" w:firstLineChars="200"/>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为比选人</w:t>
      </w:r>
      <w:r>
        <w:rPr>
          <w:rFonts w:hint="eastAsia" w:ascii="仿宋_GB2312" w:eastAsia="仿宋_GB2312" w:cs="Times New Roman"/>
          <w:bCs/>
          <w:sz w:val="32"/>
          <w:szCs w:val="32"/>
        </w:rPr>
        <w:t>2×350MW燃气—蒸汽联合循环机组</w:t>
      </w:r>
      <w:r>
        <w:rPr>
          <w:rFonts w:hint="eastAsia" w:ascii="仿宋_GB2312" w:eastAsia="仿宋_GB2312" w:cs="Times New Roman"/>
          <w:bCs/>
          <w:sz w:val="32"/>
          <w:szCs w:val="32"/>
          <w:lang w:val="en-US" w:eastAsia="zh-CN"/>
        </w:rPr>
        <w:t>实施联合循环部分负荷性能优化，在部分负荷运行工况时，在确保机组一次调频功能前提下，主要根据不同环境温度设定燃机IGV阀开度提升燃机排气温度进而提升机组联合循环效率，具体要求详见技术规范书。</w:t>
      </w:r>
    </w:p>
    <w:p>
      <w:pPr>
        <w:keepNext w:val="0"/>
        <w:keepLines w:val="0"/>
        <w:pageBreakBefore w:val="0"/>
        <w:widowControl w:val="0"/>
        <w:tabs>
          <w:tab w:val="left" w:pos="0"/>
          <w:tab w:val="left" w:pos="8505"/>
        </w:tabs>
        <w:kinsoku/>
        <w:wordWrap/>
        <w:overflowPunct/>
        <w:topLinePunct w:val="0"/>
        <w:autoSpaceDE/>
        <w:autoSpaceDN/>
        <w:bidi w:val="0"/>
        <w:adjustRightInd/>
        <w:snapToGrid/>
        <w:spacing w:line="360" w:lineRule="auto"/>
        <w:ind w:right="278" w:firstLine="639" w:firstLineChars="199"/>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三、资格要求</w:t>
      </w:r>
      <w:r>
        <w:rPr>
          <w:rFonts w:hint="eastAsia" w:ascii="仿宋_GB2312" w:hAnsi="仿宋_GB2312" w:eastAsia="仿宋_GB2312" w:cs="仿宋_GB2312"/>
          <w:b/>
          <w:bCs/>
          <w:color w:val="000000"/>
          <w:sz w:val="32"/>
          <w:szCs w:val="32"/>
          <w:lang w:val="eu-ES"/>
        </w:rPr>
        <w:t>：</w:t>
      </w:r>
    </w:p>
    <w:p>
      <w:pPr>
        <w:spacing w:line="360" w:lineRule="auto"/>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本次比选采用资格后审的方式。为证实比选申请人具有完成工作的资格和能力，比选申请人应当符合以下条件并随比选申请文件提供相应的证明文件资料：</w:t>
      </w:r>
    </w:p>
    <w:p>
      <w:pPr>
        <w:spacing w:line="360" w:lineRule="auto"/>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（1）具有独立法人资格，具有安全生产许可证。（提供营业执照复印件、安全生产许可证复印件）</w:t>
      </w:r>
    </w:p>
    <w:p>
      <w:pPr>
        <w:spacing w:line="360" w:lineRule="auto"/>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（2）</w:t>
      </w:r>
      <w:r>
        <w:rPr>
          <w:rFonts w:hint="default" w:ascii="仿宋_GB2312" w:eastAsia="仿宋_GB2312" w:cs="Times New Roman"/>
          <w:bCs/>
          <w:sz w:val="32"/>
          <w:szCs w:val="32"/>
          <w:lang w:val="en-US" w:eastAsia="zh-CN"/>
        </w:rPr>
        <w:t>熟悉</w:t>
      </w:r>
      <w:r>
        <w:rPr>
          <w:rFonts w:hint="eastAsia" w:ascii="仿宋_GB2312" w:eastAsia="仿宋_GB2312" w:cs="Times New Roman"/>
          <w:bCs/>
          <w:sz w:val="32"/>
          <w:szCs w:val="32"/>
          <w:lang w:val="en-US" w:eastAsia="zh-CN"/>
        </w:rPr>
        <w:t>三菱</w:t>
      </w:r>
      <w:r>
        <w:rPr>
          <w:rFonts w:hint="default" w:ascii="仿宋_GB2312" w:eastAsia="仿宋_GB2312" w:cs="Times New Roman"/>
          <w:bCs/>
          <w:sz w:val="32"/>
          <w:szCs w:val="32"/>
          <w:lang w:val="en-US" w:eastAsia="zh-CN"/>
        </w:rPr>
        <w:t>重工燃机工艺流程及其控制系统，具有至少1台300MW及以上燃气-蒸汽联合循环机组负荷性能优化业绩</w:t>
      </w:r>
      <w:r>
        <w:rPr>
          <w:rFonts w:hint="eastAsia" w:ascii="仿宋_GB2312" w:eastAsia="仿宋_GB2312" w:cs="Times New Roman"/>
          <w:bCs/>
          <w:sz w:val="32"/>
          <w:szCs w:val="32"/>
          <w:lang w:val="en-US" w:eastAsia="zh-CN"/>
        </w:rPr>
        <w:t>。（必须提供合同扫描件，合同扫描件应包括封面、签字页及能显示项目名称和内容部分，否则视同没提供该业绩）</w:t>
      </w:r>
    </w:p>
    <w:p>
      <w:pPr>
        <w:spacing w:line="360" w:lineRule="auto"/>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（3）没有处于被责令停业，财产被接管、冻结、破产状态。</w:t>
      </w:r>
    </w:p>
    <w:p>
      <w:pPr>
        <w:spacing w:line="360" w:lineRule="auto"/>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（4）法定代表人为同一人的两个及两个以上法人，母公司、全资子公司及控股公司，均不得同时参加本项目投标。</w:t>
      </w:r>
    </w:p>
    <w:p>
      <w:pPr>
        <w:spacing w:line="360" w:lineRule="auto"/>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（5）法律法规对合格比选申请人的其他要求、规定（在国家企业信用公示系统查询未列入异常经营、严重违法失信名单等，提供查询截图）。</w:t>
      </w:r>
    </w:p>
    <w:p>
      <w:pPr>
        <w:pStyle w:val="22"/>
        <w:widowControl/>
        <w:shd w:val="clear" w:color="auto" w:fill="FFFFFF"/>
        <w:spacing w:beforeAutospacing="0" w:after="100" w:afterAutospacing="0"/>
        <w:ind w:firstLine="420"/>
        <w:rPr>
          <w:rFonts w:ascii="仿宋_GB2312" w:eastAsia="仿宋_GB2312"/>
          <w:sz w:val="32"/>
          <w:szCs w:val="32"/>
        </w:rPr>
      </w:pPr>
      <w:r>
        <w:rPr>
          <w:rFonts w:hint="eastAsia" w:ascii="仿宋_GB2312" w:eastAsia="仿宋_GB2312" w:cs="Times New Roman"/>
          <w:bCs/>
          <w:sz w:val="32"/>
          <w:szCs w:val="32"/>
          <w:lang w:val="en-US" w:eastAsia="zh-CN"/>
        </w:rPr>
        <w:t>（6）不接受联合体参选。</w:t>
      </w:r>
    </w:p>
    <w:p>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spacing w:line="360" w:lineRule="auto"/>
        <w:ind w:right="278" w:firstLine="643" w:firstLineChars="200"/>
        <w:textAlignment w:val="auto"/>
        <w:outlineLvl w:val="9"/>
        <w:rPr>
          <w:rFonts w:hint="eastAsia" w:ascii="仿宋_GB2312" w:hAnsi="仿宋_GB2312" w:eastAsia="仿宋_GB2312" w:cs="仿宋_GB2312"/>
          <w:b/>
          <w:sz w:val="32"/>
          <w:szCs w:val="32"/>
          <w:lang w:val="eu-ES"/>
        </w:rPr>
      </w:pPr>
      <w:r>
        <w:rPr>
          <w:rFonts w:hint="eastAsia" w:ascii="仿宋_GB2312" w:hAnsi="仿宋_GB2312" w:eastAsia="仿宋_GB2312" w:cs="仿宋_GB2312"/>
          <w:b/>
          <w:sz w:val="32"/>
          <w:szCs w:val="32"/>
          <w:lang w:val="eu-ES"/>
        </w:rPr>
        <w:t>四、报名时间、地点、方式</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u-ES"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u-ES" w:eastAsia="zh-CN"/>
        </w:rPr>
        <w:t>）</w:t>
      </w:r>
      <w:r>
        <w:rPr>
          <w:rFonts w:hint="eastAsia" w:ascii="仿宋_GB2312" w:hAnsi="仿宋_GB2312" w:eastAsia="仿宋_GB2312" w:cs="仿宋_GB2312"/>
          <w:sz w:val="32"/>
          <w:szCs w:val="32"/>
        </w:rPr>
        <w:t>凡有意参加的申请人，</w:t>
      </w:r>
      <w:r>
        <w:rPr>
          <w:rFonts w:hint="eastAsia" w:ascii="仿宋_GB2312" w:hAnsi="仿宋_GB2312" w:eastAsia="仿宋_GB2312" w:cs="仿宋_GB2312"/>
          <w:sz w:val="32"/>
          <w:szCs w:val="32"/>
          <w:lang w:val="eu-ES"/>
        </w:rPr>
        <w:t>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u-ES"/>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17:00时前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按要求将指定文件发送至指定邮箱。</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发布公告的媒介：本次比选公告在</w:t>
      </w:r>
      <w:r>
        <w:rPr>
          <w:rFonts w:hint="eastAsia" w:ascii="仿宋_GB2312" w:hAnsi="仿宋_GB2312" w:eastAsia="仿宋_GB2312" w:cs="仿宋_GB2312"/>
          <w:sz w:val="32"/>
          <w:szCs w:val="32"/>
          <w:lang w:eastAsia="zh-CN"/>
        </w:rPr>
        <w:t>川投</w:t>
      </w:r>
      <w:r>
        <w:rPr>
          <w:rFonts w:hint="eastAsia" w:ascii="仿宋_GB2312" w:hAnsi="仿宋_GB2312" w:eastAsia="仿宋_GB2312" w:cs="仿宋_GB2312"/>
          <w:sz w:val="32"/>
          <w:szCs w:val="32"/>
          <w:lang w:val="en-US" w:eastAsia="zh-CN"/>
        </w:rPr>
        <w:t>集团</w:t>
      </w:r>
      <w:r>
        <w:rPr>
          <w:rFonts w:hint="eastAsia" w:ascii="仿宋_GB2312" w:hAnsi="仿宋_GB2312" w:eastAsia="仿宋_GB2312" w:cs="仿宋_GB2312"/>
          <w:sz w:val="32"/>
          <w:szCs w:val="32"/>
        </w:rPr>
        <w:t>外网（网址：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"http://www.invest.com."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http://www.invest.com.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cn/）</w:t>
      </w:r>
      <w:r>
        <w:rPr>
          <w:rFonts w:hint="eastAsia" w:ascii="仿宋_GB2312" w:hAnsi="仿宋_GB2312" w:eastAsia="仿宋_GB2312" w:cs="仿宋_GB2312"/>
          <w:sz w:val="32"/>
          <w:szCs w:val="32"/>
          <w:lang w:val="en-US" w:eastAsia="zh-CN"/>
        </w:rPr>
        <w:t>和达州气电外网（https://ctqd.invest.com.cn/）</w:t>
      </w:r>
      <w:r>
        <w:rPr>
          <w:rFonts w:hint="eastAsia" w:ascii="仿宋_GB2312" w:hAnsi="仿宋_GB2312" w:eastAsia="仿宋_GB2312" w:cs="仿宋_GB2312"/>
          <w:sz w:val="32"/>
          <w:szCs w:val="32"/>
        </w:rPr>
        <w:t>上发布。</w:t>
      </w:r>
    </w:p>
    <w:p>
      <w:pPr>
        <w:spacing w:line="360" w:lineRule="auto"/>
        <w:ind w:left="479" w:leftChars="228"/>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报名需提交的材料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（一）营业执照副本</w:t>
      </w:r>
      <w:r>
        <w:rPr>
          <w:rFonts w:hint="eastAsia" w:ascii="仿宋_GB2312" w:hAnsi="仿宋_GB2312" w:eastAsia="仿宋_GB2312" w:cs="仿宋_GB2312"/>
          <w:sz w:val="32"/>
          <w:szCs w:val="32"/>
          <w:u w:val="single"/>
        </w:rPr>
        <w:t>加盖鲜章的复印件</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（二）单位介绍信</w:t>
      </w:r>
      <w:r>
        <w:rPr>
          <w:rFonts w:hint="eastAsia" w:ascii="仿宋_GB2312" w:hAnsi="仿宋_GB2312" w:eastAsia="仿宋_GB2312" w:cs="仿宋_GB2312"/>
          <w:sz w:val="32"/>
          <w:szCs w:val="32"/>
          <w:lang w:val="en-US" w:eastAsia="zh-CN"/>
        </w:rPr>
        <w:t>或授权委托书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经办人身份证</w:t>
      </w:r>
      <w:r>
        <w:rPr>
          <w:rFonts w:hint="eastAsia" w:ascii="仿宋_GB2312" w:hAnsi="仿宋_GB2312" w:eastAsia="仿宋_GB2312" w:cs="仿宋_GB2312"/>
          <w:sz w:val="32"/>
          <w:szCs w:val="32"/>
          <w:u w:val="single"/>
        </w:rPr>
        <w:t>留加盖鲜章的复印件</w:t>
      </w:r>
      <w:r>
        <w:rPr>
          <w:rFonts w:hint="eastAsia" w:ascii="仿宋_GB2312" w:hAnsi="仿宋_GB2312" w:eastAsia="仿宋_GB2312" w:cs="仿宋_GB2312"/>
          <w:sz w:val="32"/>
          <w:szCs w:val="32"/>
        </w:rPr>
        <w:t xml:space="preserve">; </w:t>
      </w:r>
    </w:p>
    <w:p>
      <w:pPr>
        <w:spacing w:line="360" w:lineRule="auto"/>
        <w:ind w:firstLine="640" w:firstLineChars="200"/>
        <w:rPr>
          <w:rFonts w:hint="eastAsia"/>
          <w:sz w:val="32"/>
          <w:szCs w:val="32"/>
        </w:rPr>
      </w:pPr>
      <w:r>
        <w:rPr>
          <w:rFonts w:hint="eastAsia" w:ascii="仿宋_GB2312" w:hAnsi="仿宋_GB2312" w:eastAsia="仿宋_GB2312" w:cs="仿宋_GB2312"/>
          <w:sz w:val="32"/>
          <w:szCs w:val="32"/>
          <w:lang w:val="en-US" w:eastAsia="zh-CN"/>
        </w:rPr>
        <w:t>（三）非比选人合格供应商库的申请人需填写预选合格供应商基本情况表，经比选人审核通过后方能进入比选申请文件评审。</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、递交比选申请文件截止时间及地点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比选申请文件的递交截止时间为20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0 时，比选申请文件必须在此规定时间之前专人</w:t>
      </w:r>
      <w:r>
        <w:rPr>
          <w:rFonts w:hint="eastAsia" w:ascii="仿宋_GB2312" w:hAnsi="仿宋_GB2312" w:eastAsia="仿宋_GB2312" w:cs="仿宋_GB2312"/>
          <w:sz w:val="32"/>
          <w:szCs w:val="32"/>
          <w:lang w:val="en-US" w:eastAsia="zh-CN"/>
        </w:rPr>
        <w:t>或快递</w:t>
      </w:r>
      <w:r>
        <w:rPr>
          <w:rFonts w:hint="eastAsia" w:ascii="仿宋_GB2312" w:hAnsi="仿宋_GB2312" w:eastAsia="仿宋_GB2312" w:cs="仿宋_GB2312"/>
          <w:sz w:val="32"/>
          <w:szCs w:val="32"/>
        </w:rPr>
        <w:t>送达</w:t>
      </w:r>
      <w:r>
        <w:rPr>
          <w:rFonts w:hint="eastAsia" w:ascii="仿宋_GB2312" w:hAnsi="仿宋_GB2312" w:eastAsia="仿宋_GB2312" w:cs="仿宋_GB2312"/>
          <w:sz w:val="32"/>
          <w:szCs w:val="32"/>
          <w:lang w:val="en-US" w:eastAsia="zh-CN"/>
        </w:rPr>
        <w:t>达州气电计划营销部办公室（快递以送达时间为准）</w:t>
      </w:r>
      <w:r>
        <w:rPr>
          <w:rFonts w:hint="eastAsia" w:ascii="仿宋_GB2312" w:hAnsi="仿宋_GB2312" w:eastAsia="仿宋_GB2312" w:cs="仿宋_GB2312"/>
          <w:sz w:val="32"/>
          <w:szCs w:val="32"/>
        </w:rPr>
        <w:t>。比选申请文件</w:t>
      </w:r>
      <w:r>
        <w:rPr>
          <w:rFonts w:hint="eastAsia" w:ascii="仿宋_GB2312" w:hAnsi="仿宋_GB2312" w:eastAsia="仿宋_GB2312" w:cs="仿宋_GB2312"/>
          <w:b/>
          <w:bCs/>
          <w:sz w:val="32"/>
          <w:szCs w:val="32"/>
          <w:u w:val="single"/>
          <w:lang w:val="en-US" w:eastAsia="zh-CN"/>
        </w:rPr>
        <w:t>正本</w:t>
      </w:r>
      <w:r>
        <w:rPr>
          <w:rFonts w:hint="eastAsia" w:ascii="仿宋_GB2312" w:hAnsi="仿宋_GB2312" w:eastAsia="仿宋_GB2312" w:cs="仿宋_GB2312"/>
          <w:b/>
          <w:bCs/>
          <w:sz w:val="32"/>
          <w:szCs w:val="32"/>
          <w:u w:val="single"/>
        </w:rPr>
        <w:t>一</w:t>
      </w:r>
      <w:r>
        <w:rPr>
          <w:rFonts w:hint="eastAsia" w:ascii="仿宋_GB2312" w:hAnsi="仿宋_GB2312" w:eastAsia="仿宋_GB2312" w:cs="仿宋_GB2312"/>
          <w:b/>
          <w:bCs/>
          <w:sz w:val="32"/>
          <w:szCs w:val="32"/>
          <w:u w:val="single"/>
          <w:lang w:val="en-US" w:eastAsia="zh-CN"/>
        </w:rPr>
        <w:t>份、副本一份</w:t>
      </w:r>
      <w:r>
        <w:rPr>
          <w:rFonts w:hint="eastAsia" w:ascii="仿宋_GB2312" w:hAnsi="仿宋_GB2312" w:eastAsia="仿宋_GB2312" w:cs="仿宋_GB2312"/>
          <w:sz w:val="32"/>
          <w:szCs w:val="32"/>
        </w:rPr>
        <w:t>，电子文档（</w:t>
      </w:r>
      <w:r>
        <w:rPr>
          <w:rFonts w:hint="eastAsia" w:ascii="仿宋_GB2312" w:hAnsi="仿宋_GB2312" w:eastAsia="仿宋_GB2312" w:cs="仿宋_GB2312"/>
          <w:sz w:val="32"/>
          <w:szCs w:val="32"/>
          <w:lang w:val="en-US" w:eastAsia="zh-CN"/>
        </w:rPr>
        <w:t>盖章的扫描版、</w:t>
      </w:r>
      <w:r>
        <w:rPr>
          <w:rFonts w:hint="eastAsia" w:ascii="仿宋_GB2312" w:hAnsi="仿宋_GB2312" w:eastAsia="仿宋_GB2312" w:cs="仿宋_GB2312"/>
          <w:sz w:val="32"/>
          <w:szCs w:val="32"/>
        </w:rPr>
        <w:t>限U盘）</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份。迟到的比选申请文件、未按照要求密封的比选申请文件，比选人予以拒收。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比选人定于北京时间20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 时在</w:t>
      </w:r>
      <w:r>
        <w:rPr>
          <w:rFonts w:hint="eastAsia" w:ascii="仿宋_GB2312" w:hAnsi="仿宋_GB2312" w:eastAsia="仿宋_GB2312" w:cs="仿宋_GB2312"/>
          <w:sz w:val="32"/>
          <w:szCs w:val="32"/>
          <w:lang w:val="en-US" w:eastAsia="zh-CN"/>
        </w:rPr>
        <w:t>达州气电办公楼4楼会议室</w:t>
      </w:r>
      <w:r>
        <w:rPr>
          <w:rFonts w:hint="eastAsia" w:ascii="仿宋_GB2312" w:hAnsi="仿宋_GB2312" w:eastAsia="仿宋_GB2312" w:cs="仿宋_GB2312"/>
          <w:sz w:val="32"/>
          <w:szCs w:val="32"/>
        </w:rPr>
        <w:t>举行比选申请文件开启仪式，比选人邀请已递交比选申请文件的</w:t>
      </w:r>
      <w:r>
        <w:rPr>
          <w:rFonts w:hint="eastAsia" w:ascii="仿宋_GB2312" w:hAnsi="仿宋_GB2312" w:eastAsia="仿宋_GB2312" w:cs="仿宋_GB2312"/>
          <w:sz w:val="32"/>
          <w:szCs w:val="32"/>
          <w:lang w:val="en-US" w:eastAsia="zh-CN"/>
        </w:rPr>
        <w:t>比选申请人</w:t>
      </w:r>
      <w:r>
        <w:rPr>
          <w:rFonts w:hint="eastAsia" w:ascii="仿宋_GB2312" w:hAnsi="仿宋_GB2312" w:eastAsia="仿宋_GB2312" w:cs="仿宋_GB2312"/>
          <w:sz w:val="32"/>
          <w:szCs w:val="32"/>
        </w:rPr>
        <w:t>到现场监督，</w:t>
      </w:r>
      <w:r>
        <w:rPr>
          <w:rFonts w:hint="eastAsia" w:ascii="仿宋_GB2312" w:hAnsi="仿宋_GB2312" w:eastAsia="仿宋_GB2312" w:cs="仿宋_GB2312"/>
          <w:sz w:val="32"/>
          <w:szCs w:val="32"/>
          <w:lang w:val="en-US" w:eastAsia="zh-CN"/>
        </w:rPr>
        <w:t>到场的比选申请人（不要求一定到场）</w:t>
      </w:r>
      <w:r>
        <w:rPr>
          <w:rFonts w:hint="eastAsia" w:ascii="仿宋_GB2312" w:hAnsi="仿宋_GB2312" w:eastAsia="仿宋_GB2312" w:cs="仿宋_GB2312"/>
          <w:sz w:val="32"/>
          <w:szCs w:val="32"/>
        </w:rPr>
        <w:t>法定代表人或授权代理人应当对本单位递交的比选申请文件开启情况签字确认。</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rPr>
        <w:t>、联系方式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比 选 人：  </w:t>
      </w:r>
      <w:r>
        <w:rPr>
          <w:rFonts w:hint="eastAsia" w:ascii="仿宋_GB2312" w:hAnsi="仿宋_GB2312" w:eastAsia="仿宋_GB2312" w:cs="仿宋_GB2312"/>
          <w:sz w:val="32"/>
          <w:szCs w:val="32"/>
          <w:lang w:eastAsia="zh-CN"/>
        </w:rPr>
        <w:t>川投（达州）燃气发电有限公司</w:t>
      </w:r>
    </w:p>
    <w:p>
      <w:pPr>
        <w:spacing w:line="360" w:lineRule="auto"/>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地    址：  </w:t>
      </w:r>
      <w:r>
        <w:rPr>
          <w:rFonts w:hint="eastAsia" w:ascii="仿宋_GB2312" w:hAnsi="仿宋_GB2312" w:eastAsia="仿宋_GB2312" w:cs="仿宋_GB2312"/>
          <w:sz w:val="32"/>
          <w:szCs w:val="32"/>
          <w:lang w:val="en-US" w:eastAsia="zh-CN"/>
        </w:rPr>
        <w:t>四川省达州市高新区斌郎街道桥坝社区7组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61</w:t>
      </w:r>
      <w:r>
        <w:rPr>
          <w:rFonts w:hint="eastAsia" w:ascii="仿宋_GB2312" w:hAnsi="仿宋_GB2312" w:eastAsia="仿宋_GB2312" w:cs="仿宋_GB2312"/>
          <w:sz w:val="32"/>
          <w:szCs w:val="32"/>
          <w:lang w:val="en-US" w:eastAsia="zh-CN"/>
        </w:rPr>
        <w:t>5726</w:t>
      </w:r>
      <w:r>
        <w:rPr>
          <w:rFonts w:hint="eastAsia" w:ascii="仿宋_GB2312" w:hAnsi="仿宋_GB2312" w:eastAsia="仿宋_GB2312" w:cs="仿宋_GB2312"/>
          <w:sz w:val="32"/>
          <w:szCs w:val="32"/>
        </w:rPr>
        <w:t xml:space="preserve">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w:t>
      </w:r>
      <w:r>
        <w:rPr>
          <w:rFonts w:hint="eastAsia" w:ascii="仿宋_GB2312" w:hAnsi="仿宋_GB2312" w:eastAsia="仿宋_GB2312" w:cs="仿宋_GB2312"/>
          <w:sz w:val="32"/>
          <w:szCs w:val="32"/>
          <w:lang w:val="en-US" w:eastAsia="zh-CN"/>
        </w:rPr>
        <w:t>何先生</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0818-3331165</w:t>
      </w:r>
    </w:p>
    <w:p>
      <w:pPr>
        <w:spacing w:line="360" w:lineRule="auto"/>
        <w:ind w:firstLine="640" w:firstLineChars="200"/>
        <w:rPr>
          <w:rFonts w:hint="eastAsia" w:hAnsi="Times New Roman" w:cs="Times New Roman"/>
          <w:sz w:val="32"/>
          <w:szCs w:val="32"/>
          <w:lang w:val="en-US" w:eastAsia="zh-CN"/>
        </w:rPr>
      </w:pPr>
      <w:r>
        <w:rPr>
          <w:rFonts w:hint="eastAsia" w:ascii="仿宋_GB2312" w:hAnsi="仿宋_GB2312" w:eastAsia="仿宋_GB2312" w:cs="仿宋_GB2312"/>
          <w:sz w:val="32"/>
          <w:szCs w:val="32"/>
          <w:lang w:val="en-US" w:eastAsia="zh-CN"/>
        </w:rPr>
        <w:t>邮    箱： HL080117@sina.cn</w:t>
      </w:r>
      <w:bookmarkEnd w:id="1"/>
      <w:bookmarkEnd w:id="2"/>
      <w:bookmarkEnd w:id="3"/>
      <w:bookmarkEnd w:id="4"/>
    </w:p>
    <w:sectPr>
      <w:headerReference r:id="rId3" w:type="default"/>
      <w:footerReference r:id="rId4" w:type="default"/>
      <w:pgSz w:w="11907" w:h="16840"/>
      <w:pgMar w:top="1440" w:right="1417" w:bottom="1440" w:left="1417" w:header="851" w:footer="1134" w:gutter="0"/>
      <w:pgNumType w:fmt="decimal"/>
      <w:cols w:space="0" w:num="1"/>
      <w:rtlGutter w:val="0"/>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28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28</w:t>
                    </w:r>
                    <w:r>
                      <w:rPr>
                        <w:lang w:val="zh-CN"/>
                      </w:rPr>
                      <w:fldChar w:fldCharType="end"/>
                    </w:r>
                  </w:p>
                </w:txbxContent>
              </v:textbox>
            </v:shape>
          </w:pict>
        </mc:Fallback>
      </mc:AlternateContent>
    </w:r>
  </w:p>
  <w:p>
    <w:pPr>
      <w:pStyle w:val="17"/>
      <w:ind w:right="360"/>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28"/>
        <w:i/>
        <w:iCs/>
      </w:rPr>
    </w:pPr>
    <w:r>
      <w:rPr>
        <w:rStyle w:val="28"/>
        <w:rFonts w:hint="eastAsia"/>
        <w:i/>
        <w:iCs/>
        <w:lang w:val="en-US" w:eastAsia="zh-CN"/>
      </w:rPr>
      <w:t>川投（达州）燃气发电有限公司</w:t>
    </w:r>
    <w:r>
      <w:rPr>
        <w:rStyle w:val="28"/>
        <w:rFonts w:hint="eastAsia"/>
        <w:i/>
        <w:iCs/>
      </w:rPr>
      <w:t>供应商询价文件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7A066"/>
    <w:multiLevelType w:val="multilevel"/>
    <w:tmpl w:val="9EB7A066"/>
    <w:lvl w:ilvl="0" w:tentative="0">
      <w:start w:val="1"/>
      <w:numFmt w:val="decimal"/>
      <w:suff w:val="space"/>
      <w:lvlText w:val="%1"/>
      <w:lvlJc w:val="left"/>
      <w:pPr>
        <w:tabs>
          <w:tab w:val="left" w:pos="420"/>
        </w:tabs>
        <w:ind w:left="0" w:leftChars="0" w:firstLine="0" w:firstLineChars="0"/>
      </w:pPr>
      <w:rPr>
        <w:rFonts w:hint="default" w:ascii="宋体" w:hAnsi="宋体" w:eastAsia="宋体" w:cs="宋体"/>
        <w:b/>
        <w:bCs/>
        <w:sz w:val="24"/>
        <w:szCs w:val="24"/>
      </w:rPr>
    </w:lvl>
    <w:lvl w:ilvl="1" w:tentative="0">
      <w:start w:val="1"/>
      <w:numFmt w:val="decimal"/>
      <w:pStyle w:val="49"/>
      <w:suff w:val="space"/>
      <w:lvlText w:val="%1.%2"/>
      <w:lvlJc w:val="left"/>
      <w:pPr>
        <w:tabs>
          <w:tab w:val="left" w:pos="567"/>
        </w:tabs>
        <w:ind w:left="0" w:leftChars="0" w:firstLine="0" w:firstLineChars="0"/>
      </w:pPr>
      <w:rPr>
        <w:rFonts w:hint="default" w:ascii="宋体" w:hAnsi="宋体" w:eastAsia="宋体" w:cstheme="minorEastAsia"/>
        <w:sz w:val="24"/>
        <w:szCs w:val="24"/>
      </w:rPr>
    </w:lvl>
    <w:lvl w:ilvl="2" w:tentative="0">
      <w:start w:val="1"/>
      <w:numFmt w:val="decimal"/>
      <w:lvlText w:val="%1.%2.%3"/>
      <w:lvlJc w:val="left"/>
      <w:pPr>
        <w:tabs>
          <w:tab w:val="left" w:pos="737"/>
        </w:tabs>
        <w:ind w:left="737" w:hanging="737"/>
      </w:pPr>
      <w:rPr>
        <w:rFonts w:hint="default" w:ascii="Times New Roman" w:hAnsi="Times New Roman" w:cs="Times New Roman"/>
      </w:rPr>
    </w:lvl>
    <w:lvl w:ilvl="3" w:tentative="0">
      <w:start w:val="1"/>
      <w:numFmt w:val="decimal"/>
      <w:lvlText w:val="%4)"/>
      <w:lvlJc w:val="left"/>
      <w:pPr>
        <w:tabs>
          <w:tab w:val="left" w:pos="907"/>
        </w:tabs>
        <w:ind w:left="907" w:hanging="427"/>
      </w:pPr>
      <w:rPr>
        <w:rFonts w:hint="default" w:ascii="Times New Roman" w:hAnsi="Times New Roman"/>
        <w:b w:val="0"/>
        <w:i w:val="0"/>
      </w:rPr>
    </w:lvl>
    <w:lvl w:ilvl="4" w:tentative="0">
      <w:start w:val="1"/>
      <w:numFmt w:val="lowerLetter"/>
      <w:lvlText w:val="%5) "/>
      <w:lvlJc w:val="left"/>
      <w:pPr>
        <w:tabs>
          <w:tab w:val="left" w:pos="1304"/>
        </w:tabs>
        <w:ind w:left="1304" w:hanging="345"/>
      </w:pPr>
      <w:rPr>
        <w:rFonts w:hint="eastAsia"/>
      </w:rPr>
    </w:lvl>
    <w:lvl w:ilvl="5" w:tentative="0">
      <w:start w:val="1"/>
      <w:numFmt w:val="lowerRoman"/>
      <w:lvlText w:val="%6)"/>
      <w:lvlJc w:val="left"/>
      <w:pPr>
        <w:tabs>
          <w:tab w:val="left" w:pos="1701"/>
        </w:tabs>
        <w:ind w:left="1701" w:hanging="340"/>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CEE7719"/>
    <w:multiLevelType w:val="singleLevel"/>
    <w:tmpl w:val="7CEE77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6F"/>
    <w:rsid w:val="000004EC"/>
    <w:rsid w:val="00002317"/>
    <w:rsid w:val="000426D6"/>
    <w:rsid w:val="00056218"/>
    <w:rsid w:val="000853EC"/>
    <w:rsid w:val="000B6D32"/>
    <w:rsid w:val="000E606F"/>
    <w:rsid w:val="00106503"/>
    <w:rsid w:val="00107382"/>
    <w:rsid w:val="00126C4F"/>
    <w:rsid w:val="00133EEB"/>
    <w:rsid w:val="001352C9"/>
    <w:rsid w:val="00145898"/>
    <w:rsid w:val="001762B7"/>
    <w:rsid w:val="0018560A"/>
    <w:rsid w:val="0018774E"/>
    <w:rsid w:val="00196CAD"/>
    <w:rsid w:val="001A7966"/>
    <w:rsid w:val="00206FA6"/>
    <w:rsid w:val="00211855"/>
    <w:rsid w:val="00233E8D"/>
    <w:rsid w:val="00243773"/>
    <w:rsid w:val="00282062"/>
    <w:rsid w:val="002822C3"/>
    <w:rsid w:val="00286EAF"/>
    <w:rsid w:val="002A28C3"/>
    <w:rsid w:val="002A7B19"/>
    <w:rsid w:val="002B6F5B"/>
    <w:rsid w:val="002E606B"/>
    <w:rsid w:val="00327443"/>
    <w:rsid w:val="00383AD6"/>
    <w:rsid w:val="00385F93"/>
    <w:rsid w:val="003866F4"/>
    <w:rsid w:val="003A748C"/>
    <w:rsid w:val="00402F06"/>
    <w:rsid w:val="00412B63"/>
    <w:rsid w:val="0048006F"/>
    <w:rsid w:val="004E6AE0"/>
    <w:rsid w:val="00500472"/>
    <w:rsid w:val="005017F4"/>
    <w:rsid w:val="005101E0"/>
    <w:rsid w:val="005255AA"/>
    <w:rsid w:val="00540CE2"/>
    <w:rsid w:val="00577FA2"/>
    <w:rsid w:val="005830E7"/>
    <w:rsid w:val="005C129E"/>
    <w:rsid w:val="005C4F57"/>
    <w:rsid w:val="00627D17"/>
    <w:rsid w:val="006333C9"/>
    <w:rsid w:val="006477B7"/>
    <w:rsid w:val="00653EFA"/>
    <w:rsid w:val="006926F9"/>
    <w:rsid w:val="006A3022"/>
    <w:rsid w:val="006B0D1E"/>
    <w:rsid w:val="006F2CE0"/>
    <w:rsid w:val="007306D3"/>
    <w:rsid w:val="0076325A"/>
    <w:rsid w:val="00774457"/>
    <w:rsid w:val="0078003C"/>
    <w:rsid w:val="00783773"/>
    <w:rsid w:val="007A6509"/>
    <w:rsid w:val="007B20E3"/>
    <w:rsid w:val="007B671B"/>
    <w:rsid w:val="007C338D"/>
    <w:rsid w:val="007D4828"/>
    <w:rsid w:val="007F78EA"/>
    <w:rsid w:val="008360B5"/>
    <w:rsid w:val="008409E9"/>
    <w:rsid w:val="00846E95"/>
    <w:rsid w:val="008A2421"/>
    <w:rsid w:val="008D6261"/>
    <w:rsid w:val="008F7734"/>
    <w:rsid w:val="00950234"/>
    <w:rsid w:val="00A0599C"/>
    <w:rsid w:val="00A12F01"/>
    <w:rsid w:val="00A35F66"/>
    <w:rsid w:val="00A43514"/>
    <w:rsid w:val="00A749F9"/>
    <w:rsid w:val="00AB0FD6"/>
    <w:rsid w:val="00AC056B"/>
    <w:rsid w:val="00B241F6"/>
    <w:rsid w:val="00B4543B"/>
    <w:rsid w:val="00B76F46"/>
    <w:rsid w:val="00BD4AE9"/>
    <w:rsid w:val="00BE58E6"/>
    <w:rsid w:val="00BF2CEE"/>
    <w:rsid w:val="00BF34FB"/>
    <w:rsid w:val="00BF3829"/>
    <w:rsid w:val="00BF4E90"/>
    <w:rsid w:val="00C16947"/>
    <w:rsid w:val="00C225BD"/>
    <w:rsid w:val="00C87775"/>
    <w:rsid w:val="00C87B05"/>
    <w:rsid w:val="00CA75C0"/>
    <w:rsid w:val="00CC42CB"/>
    <w:rsid w:val="00CE4593"/>
    <w:rsid w:val="00D2662F"/>
    <w:rsid w:val="00D34E23"/>
    <w:rsid w:val="00D8495A"/>
    <w:rsid w:val="00D90208"/>
    <w:rsid w:val="00D95686"/>
    <w:rsid w:val="00DB41D2"/>
    <w:rsid w:val="00DB7CF2"/>
    <w:rsid w:val="00DC1BAE"/>
    <w:rsid w:val="00DF547B"/>
    <w:rsid w:val="00E11B52"/>
    <w:rsid w:val="00E97D84"/>
    <w:rsid w:val="00EA1255"/>
    <w:rsid w:val="00EC7719"/>
    <w:rsid w:val="00EE48E7"/>
    <w:rsid w:val="00F07A0A"/>
    <w:rsid w:val="00F3338D"/>
    <w:rsid w:val="00F45B22"/>
    <w:rsid w:val="00F54BC6"/>
    <w:rsid w:val="00FA6597"/>
    <w:rsid w:val="02A516A5"/>
    <w:rsid w:val="03636F06"/>
    <w:rsid w:val="0372035C"/>
    <w:rsid w:val="05F726AF"/>
    <w:rsid w:val="06044557"/>
    <w:rsid w:val="06645DA9"/>
    <w:rsid w:val="09D80113"/>
    <w:rsid w:val="0A240E06"/>
    <w:rsid w:val="0A3B57B5"/>
    <w:rsid w:val="0A454D73"/>
    <w:rsid w:val="0B285275"/>
    <w:rsid w:val="0C152F3A"/>
    <w:rsid w:val="0C5C4570"/>
    <w:rsid w:val="0CFB6E8A"/>
    <w:rsid w:val="0D1215A7"/>
    <w:rsid w:val="0DCE0BD7"/>
    <w:rsid w:val="0DEF646E"/>
    <w:rsid w:val="0E3B3EDF"/>
    <w:rsid w:val="0E4C7E24"/>
    <w:rsid w:val="0EA14601"/>
    <w:rsid w:val="0EEE2A17"/>
    <w:rsid w:val="0FAD40E6"/>
    <w:rsid w:val="106F47A5"/>
    <w:rsid w:val="10726B57"/>
    <w:rsid w:val="10CD1A27"/>
    <w:rsid w:val="10F73F27"/>
    <w:rsid w:val="115D486F"/>
    <w:rsid w:val="12D77163"/>
    <w:rsid w:val="13047C51"/>
    <w:rsid w:val="13111873"/>
    <w:rsid w:val="13152732"/>
    <w:rsid w:val="13B130DD"/>
    <w:rsid w:val="145436B5"/>
    <w:rsid w:val="146F44AE"/>
    <w:rsid w:val="148534A0"/>
    <w:rsid w:val="16451D29"/>
    <w:rsid w:val="17142FC2"/>
    <w:rsid w:val="171800BB"/>
    <w:rsid w:val="177B7AF4"/>
    <w:rsid w:val="17960C12"/>
    <w:rsid w:val="17B927A0"/>
    <w:rsid w:val="182C639E"/>
    <w:rsid w:val="18C80A1F"/>
    <w:rsid w:val="194E6A03"/>
    <w:rsid w:val="19967234"/>
    <w:rsid w:val="19AA24CB"/>
    <w:rsid w:val="19FC5396"/>
    <w:rsid w:val="1A003FB3"/>
    <w:rsid w:val="1A112A9D"/>
    <w:rsid w:val="1B445172"/>
    <w:rsid w:val="1B9340A0"/>
    <w:rsid w:val="1BEA5DC7"/>
    <w:rsid w:val="1C24707D"/>
    <w:rsid w:val="1C3B2111"/>
    <w:rsid w:val="1CC83678"/>
    <w:rsid w:val="1D136757"/>
    <w:rsid w:val="1D667BDD"/>
    <w:rsid w:val="1D69624E"/>
    <w:rsid w:val="1E2F3DD9"/>
    <w:rsid w:val="1EA71AC2"/>
    <w:rsid w:val="1F290161"/>
    <w:rsid w:val="1F5D4FC0"/>
    <w:rsid w:val="20750331"/>
    <w:rsid w:val="21386E42"/>
    <w:rsid w:val="21743DAD"/>
    <w:rsid w:val="227037BF"/>
    <w:rsid w:val="2273142A"/>
    <w:rsid w:val="231F4271"/>
    <w:rsid w:val="236B7312"/>
    <w:rsid w:val="24AC7208"/>
    <w:rsid w:val="24D943DB"/>
    <w:rsid w:val="254421DB"/>
    <w:rsid w:val="254839FD"/>
    <w:rsid w:val="255E779D"/>
    <w:rsid w:val="264D2736"/>
    <w:rsid w:val="2668436E"/>
    <w:rsid w:val="26D45D4C"/>
    <w:rsid w:val="27175387"/>
    <w:rsid w:val="279E3BBA"/>
    <w:rsid w:val="27DF6EDF"/>
    <w:rsid w:val="293F48F0"/>
    <w:rsid w:val="294F18AA"/>
    <w:rsid w:val="29604C80"/>
    <w:rsid w:val="29DC4BDB"/>
    <w:rsid w:val="29F27D15"/>
    <w:rsid w:val="2A0827CF"/>
    <w:rsid w:val="2A2377B1"/>
    <w:rsid w:val="2B20666B"/>
    <w:rsid w:val="2B9F4B77"/>
    <w:rsid w:val="2C1154C0"/>
    <w:rsid w:val="2CB65520"/>
    <w:rsid w:val="2CE46844"/>
    <w:rsid w:val="2CFC67E9"/>
    <w:rsid w:val="2D360B3C"/>
    <w:rsid w:val="2D98204D"/>
    <w:rsid w:val="2E35119D"/>
    <w:rsid w:val="2E992273"/>
    <w:rsid w:val="2F5F09CB"/>
    <w:rsid w:val="2F7B1C74"/>
    <w:rsid w:val="2FDB2639"/>
    <w:rsid w:val="30D85CFA"/>
    <w:rsid w:val="31BC5AE2"/>
    <w:rsid w:val="32C432C4"/>
    <w:rsid w:val="333E7DB5"/>
    <w:rsid w:val="338A6500"/>
    <w:rsid w:val="34571DAB"/>
    <w:rsid w:val="346229F0"/>
    <w:rsid w:val="34DF1C73"/>
    <w:rsid w:val="34E35D48"/>
    <w:rsid w:val="3585184E"/>
    <w:rsid w:val="35B53944"/>
    <w:rsid w:val="35E36D57"/>
    <w:rsid w:val="362A5269"/>
    <w:rsid w:val="365304DF"/>
    <w:rsid w:val="36A404B5"/>
    <w:rsid w:val="36DE6394"/>
    <w:rsid w:val="36E040EE"/>
    <w:rsid w:val="372C0F35"/>
    <w:rsid w:val="3759387E"/>
    <w:rsid w:val="37700F18"/>
    <w:rsid w:val="39372ECE"/>
    <w:rsid w:val="3993740D"/>
    <w:rsid w:val="39A2043E"/>
    <w:rsid w:val="39EA7BCF"/>
    <w:rsid w:val="3A1C2218"/>
    <w:rsid w:val="3A3D32E4"/>
    <w:rsid w:val="3A8A2891"/>
    <w:rsid w:val="3AD17451"/>
    <w:rsid w:val="3B286803"/>
    <w:rsid w:val="3B5A61C1"/>
    <w:rsid w:val="3B6C726A"/>
    <w:rsid w:val="3C3C4498"/>
    <w:rsid w:val="3CF33BAC"/>
    <w:rsid w:val="3D25397D"/>
    <w:rsid w:val="3D602470"/>
    <w:rsid w:val="3E026DC8"/>
    <w:rsid w:val="3F820310"/>
    <w:rsid w:val="3F987000"/>
    <w:rsid w:val="3FFF270F"/>
    <w:rsid w:val="40B76319"/>
    <w:rsid w:val="40C769B0"/>
    <w:rsid w:val="40F94810"/>
    <w:rsid w:val="41164751"/>
    <w:rsid w:val="418E5521"/>
    <w:rsid w:val="41BF56D2"/>
    <w:rsid w:val="41E05E84"/>
    <w:rsid w:val="41E80FF0"/>
    <w:rsid w:val="43C07D82"/>
    <w:rsid w:val="43FF4A5B"/>
    <w:rsid w:val="44160133"/>
    <w:rsid w:val="45DC5A73"/>
    <w:rsid w:val="461E5470"/>
    <w:rsid w:val="46D20097"/>
    <w:rsid w:val="46DE658D"/>
    <w:rsid w:val="47407978"/>
    <w:rsid w:val="47E72D8E"/>
    <w:rsid w:val="49074F9E"/>
    <w:rsid w:val="4B0804FB"/>
    <w:rsid w:val="4B216521"/>
    <w:rsid w:val="4CA53713"/>
    <w:rsid w:val="4D0A23D6"/>
    <w:rsid w:val="4DF5663E"/>
    <w:rsid w:val="4DFC0451"/>
    <w:rsid w:val="4E8D4FB1"/>
    <w:rsid w:val="4F05753A"/>
    <w:rsid w:val="4FF322BB"/>
    <w:rsid w:val="503A2809"/>
    <w:rsid w:val="50496984"/>
    <w:rsid w:val="5099424B"/>
    <w:rsid w:val="50A84C7C"/>
    <w:rsid w:val="50AE5EEF"/>
    <w:rsid w:val="50BF6542"/>
    <w:rsid w:val="511227DF"/>
    <w:rsid w:val="5131732E"/>
    <w:rsid w:val="53C649F2"/>
    <w:rsid w:val="5456410A"/>
    <w:rsid w:val="54A0690E"/>
    <w:rsid w:val="54DE04A2"/>
    <w:rsid w:val="54EF7DB2"/>
    <w:rsid w:val="55B760F1"/>
    <w:rsid w:val="55C97E30"/>
    <w:rsid w:val="55DF1850"/>
    <w:rsid w:val="55FD7A9C"/>
    <w:rsid w:val="56371467"/>
    <w:rsid w:val="56730CE5"/>
    <w:rsid w:val="576A593D"/>
    <w:rsid w:val="57EA6E7A"/>
    <w:rsid w:val="57F268F9"/>
    <w:rsid w:val="583D1CCD"/>
    <w:rsid w:val="58D16D22"/>
    <w:rsid w:val="59085109"/>
    <w:rsid w:val="591875D1"/>
    <w:rsid w:val="59BC7CE5"/>
    <w:rsid w:val="59D729DA"/>
    <w:rsid w:val="5A8A4AEF"/>
    <w:rsid w:val="5A957DA7"/>
    <w:rsid w:val="5AF439EC"/>
    <w:rsid w:val="5B300FAB"/>
    <w:rsid w:val="5B604DFA"/>
    <w:rsid w:val="5BCC78F3"/>
    <w:rsid w:val="5BD8794C"/>
    <w:rsid w:val="5C622B98"/>
    <w:rsid w:val="5D8067A4"/>
    <w:rsid w:val="5E321F2F"/>
    <w:rsid w:val="5EBD6D28"/>
    <w:rsid w:val="5F981C28"/>
    <w:rsid w:val="5FE44400"/>
    <w:rsid w:val="601B7DFD"/>
    <w:rsid w:val="60250B9C"/>
    <w:rsid w:val="606546BF"/>
    <w:rsid w:val="61FF3FF1"/>
    <w:rsid w:val="623C175A"/>
    <w:rsid w:val="63211AEA"/>
    <w:rsid w:val="635C5B62"/>
    <w:rsid w:val="64316B77"/>
    <w:rsid w:val="64367B7A"/>
    <w:rsid w:val="64537E36"/>
    <w:rsid w:val="656C4964"/>
    <w:rsid w:val="667D5806"/>
    <w:rsid w:val="66D76A8E"/>
    <w:rsid w:val="678C3577"/>
    <w:rsid w:val="67DA1A22"/>
    <w:rsid w:val="67E407EC"/>
    <w:rsid w:val="68887C67"/>
    <w:rsid w:val="68EA2518"/>
    <w:rsid w:val="69880803"/>
    <w:rsid w:val="6992297E"/>
    <w:rsid w:val="6A1F6B7A"/>
    <w:rsid w:val="6A1F7332"/>
    <w:rsid w:val="6A2154CB"/>
    <w:rsid w:val="6A4813AF"/>
    <w:rsid w:val="6BD17DF5"/>
    <w:rsid w:val="6C9622EB"/>
    <w:rsid w:val="6CFF6340"/>
    <w:rsid w:val="6D6A05E5"/>
    <w:rsid w:val="6F575A5B"/>
    <w:rsid w:val="6FD0162B"/>
    <w:rsid w:val="70CE398F"/>
    <w:rsid w:val="710F7EE9"/>
    <w:rsid w:val="72E14CAB"/>
    <w:rsid w:val="7379249A"/>
    <w:rsid w:val="73991CEB"/>
    <w:rsid w:val="73BE37C3"/>
    <w:rsid w:val="74B20E3C"/>
    <w:rsid w:val="74F04A4C"/>
    <w:rsid w:val="74F54757"/>
    <w:rsid w:val="7538457A"/>
    <w:rsid w:val="75B059C4"/>
    <w:rsid w:val="75B74CFF"/>
    <w:rsid w:val="761B7B74"/>
    <w:rsid w:val="76263AC5"/>
    <w:rsid w:val="767C1AD5"/>
    <w:rsid w:val="768765ED"/>
    <w:rsid w:val="76E962AC"/>
    <w:rsid w:val="774A1AA7"/>
    <w:rsid w:val="78C96B0F"/>
    <w:rsid w:val="78E06447"/>
    <w:rsid w:val="792415C3"/>
    <w:rsid w:val="794363CF"/>
    <w:rsid w:val="79A64948"/>
    <w:rsid w:val="7A292567"/>
    <w:rsid w:val="7B603F03"/>
    <w:rsid w:val="7BDF4939"/>
    <w:rsid w:val="7BE05822"/>
    <w:rsid w:val="7D203D9E"/>
    <w:rsid w:val="7DBD2C65"/>
    <w:rsid w:val="7E09212E"/>
    <w:rsid w:val="7E357940"/>
    <w:rsid w:val="7EF420F2"/>
    <w:rsid w:val="7FA708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4"/>
    <w:unhideWhenUsed/>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7"/>
    <w:link w:val="35"/>
    <w:qFormat/>
    <w:uiPriority w:val="99"/>
    <w:pPr>
      <w:keepNext/>
      <w:keepLines/>
      <w:tabs>
        <w:tab w:val="left" w:pos="1200"/>
      </w:tabs>
      <w:spacing w:after="120" w:line="360" w:lineRule="auto"/>
      <w:ind w:left="1200" w:hanging="720"/>
      <w:outlineLvl w:val="2"/>
    </w:pPr>
    <w:rPr>
      <w:rFonts w:ascii="Times New Roman" w:hAnsi="Times New Roman"/>
      <w:b/>
      <w:sz w:val="28"/>
      <w:szCs w:val="20"/>
    </w:rPr>
  </w:style>
  <w:style w:type="paragraph" w:styleId="8">
    <w:name w:val="heading 4"/>
    <w:basedOn w:val="1"/>
    <w:next w:val="7"/>
    <w:link w:val="36"/>
    <w:qFormat/>
    <w:uiPriority w:val="99"/>
    <w:pPr>
      <w:keepNext/>
      <w:keepLines/>
      <w:tabs>
        <w:tab w:val="left" w:pos="1080"/>
      </w:tabs>
      <w:spacing w:after="120" w:line="360" w:lineRule="auto"/>
      <w:outlineLvl w:val="3"/>
    </w:pPr>
    <w:rPr>
      <w:rFonts w:ascii="Times New Roman" w:hAnsi="Times New Roman"/>
      <w:b/>
      <w:sz w:val="28"/>
      <w:szCs w:val="20"/>
    </w:rPr>
  </w:style>
  <w:style w:type="paragraph" w:styleId="9">
    <w:name w:val="heading 5"/>
    <w:basedOn w:val="1"/>
    <w:next w:val="7"/>
    <w:link w:val="37"/>
    <w:qFormat/>
    <w:uiPriority w:val="99"/>
    <w:pPr>
      <w:keepNext/>
      <w:keepLines/>
      <w:tabs>
        <w:tab w:val="left" w:pos="1008"/>
      </w:tabs>
      <w:spacing w:after="120" w:line="360" w:lineRule="auto"/>
      <w:ind w:left="1008" w:hanging="1008"/>
      <w:outlineLvl w:val="4"/>
    </w:pPr>
    <w:rPr>
      <w:rFonts w:ascii="Times New Roman" w:hAnsi="Times New Roman"/>
      <w:b/>
      <w:sz w:val="28"/>
      <w:szCs w:val="20"/>
    </w:rPr>
  </w:style>
  <w:style w:type="paragraph" w:styleId="10">
    <w:name w:val="heading 6"/>
    <w:basedOn w:val="1"/>
    <w:next w:val="7"/>
    <w:link w:val="38"/>
    <w:qFormat/>
    <w:uiPriority w:val="99"/>
    <w:pPr>
      <w:keepNext/>
      <w:keepLines/>
      <w:tabs>
        <w:tab w:val="left" w:pos="1152"/>
      </w:tabs>
      <w:spacing w:after="120" w:line="360" w:lineRule="auto"/>
      <w:ind w:left="1152" w:hanging="1152"/>
      <w:outlineLvl w:val="5"/>
    </w:pPr>
    <w:rPr>
      <w:rFonts w:ascii="Times New Roman" w:hAnsi="Times New Roman"/>
      <w:b/>
      <w:sz w:val="28"/>
      <w:szCs w:val="20"/>
    </w:rPr>
  </w:style>
  <w:style w:type="paragraph" w:styleId="11">
    <w:name w:val="heading 7"/>
    <w:basedOn w:val="1"/>
    <w:next w:val="7"/>
    <w:link w:val="39"/>
    <w:qFormat/>
    <w:uiPriority w:val="99"/>
    <w:pPr>
      <w:keepNext/>
      <w:keepLines/>
      <w:tabs>
        <w:tab w:val="left" w:pos="1296"/>
      </w:tabs>
      <w:spacing w:after="120" w:line="360" w:lineRule="auto"/>
      <w:ind w:left="1296" w:hanging="1296"/>
      <w:outlineLvl w:val="6"/>
    </w:pPr>
    <w:rPr>
      <w:rFonts w:ascii="Times New Roman" w:hAnsi="Times New Roman"/>
      <w:b/>
      <w:sz w:val="28"/>
      <w:szCs w:val="20"/>
    </w:rPr>
  </w:style>
  <w:style w:type="character" w:default="1" w:styleId="25">
    <w:name w:val="Default Paragraph Font"/>
    <w:unhideWhenUsed/>
    <w:qFormat/>
    <w:uiPriority w:val="1"/>
  </w:style>
  <w:style w:type="table" w:default="1" w:styleId="2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unhideWhenUsed/>
    <w:qFormat/>
    <w:uiPriority w:val="99"/>
    <w:rPr>
      <w:sz w:val="28"/>
      <w:szCs w:val="20"/>
    </w:rPr>
  </w:style>
  <w:style w:type="paragraph" w:styleId="3">
    <w:name w:val="Subtitle"/>
    <w:basedOn w:val="1"/>
    <w:next w:val="1"/>
    <w:qFormat/>
    <w:uiPriority w:val="11"/>
    <w:pPr>
      <w:spacing w:before="240" w:after="60" w:line="312" w:lineRule="auto"/>
      <w:jc w:val="center"/>
      <w:outlineLvl w:val="1"/>
    </w:pPr>
    <w:rPr>
      <w:rFonts w:ascii="Cambria" w:hAnsi="Cambria" w:cs="黑体"/>
      <w:b/>
      <w:bCs/>
      <w:kern w:val="28"/>
      <w:sz w:val="32"/>
      <w:szCs w:val="32"/>
    </w:rPr>
  </w:style>
  <w:style w:type="paragraph" w:styleId="7">
    <w:name w:val="Normal Indent"/>
    <w:basedOn w:val="1"/>
    <w:qFormat/>
    <w:uiPriority w:val="99"/>
    <w:pPr>
      <w:adjustRightInd w:val="0"/>
      <w:spacing w:line="360" w:lineRule="atLeast"/>
      <w:ind w:firstLine="420"/>
      <w:jc w:val="left"/>
      <w:textAlignment w:val="baseline"/>
    </w:pPr>
    <w:rPr>
      <w:rFonts w:ascii="Times New Roman" w:hAnsi="Times New Roman"/>
      <w:kern w:val="0"/>
      <w:sz w:val="24"/>
      <w:szCs w:val="20"/>
    </w:rPr>
  </w:style>
  <w:style w:type="paragraph" w:styleId="12">
    <w:name w:val="annotation text"/>
    <w:basedOn w:val="1"/>
    <w:unhideWhenUsed/>
    <w:qFormat/>
    <w:uiPriority w:val="99"/>
    <w:pPr>
      <w:jc w:val="left"/>
    </w:pPr>
  </w:style>
  <w:style w:type="paragraph" w:styleId="13">
    <w:name w:val="Plain Text"/>
    <w:basedOn w:val="1"/>
    <w:link w:val="31"/>
    <w:qFormat/>
    <w:uiPriority w:val="0"/>
    <w:rPr>
      <w:rFonts w:ascii="宋体" w:hAnsi="Courier New"/>
      <w:szCs w:val="20"/>
    </w:rPr>
  </w:style>
  <w:style w:type="paragraph" w:styleId="14">
    <w:name w:val="Date"/>
    <w:basedOn w:val="1"/>
    <w:next w:val="1"/>
    <w:link w:val="40"/>
    <w:qFormat/>
    <w:uiPriority w:val="99"/>
    <w:rPr>
      <w:rFonts w:ascii="Times New Roman" w:hAnsi="Times New Roman"/>
      <w:kern w:val="0"/>
      <w:sz w:val="28"/>
      <w:szCs w:val="20"/>
    </w:rPr>
  </w:style>
  <w:style w:type="paragraph" w:styleId="15">
    <w:name w:val="Body Text Indent 2"/>
    <w:basedOn w:val="1"/>
    <w:unhideWhenUsed/>
    <w:qFormat/>
    <w:uiPriority w:val="99"/>
    <w:pPr>
      <w:ind w:firstLine="540"/>
    </w:pPr>
    <w:rPr>
      <w:sz w:val="28"/>
      <w:szCs w:val="20"/>
    </w:rPr>
  </w:style>
  <w:style w:type="paragraph" w:styleId="16">
    <w:name w:val="Balloon Text"/>
    <w:basedOn w:val="1"/>
    <w:link w:val="45"/>
    <w:unhideWhenUsed/>
    <w:qFormat/>
    <w:uiPriority w:val="99"/>
    <w:rPr>
      <w:sz w:val="18"/>
      <w:szCs w:val="18"/>
    </w:rPr>
  </w:style>
  <w:style w:type="paragraph" w:styleId="17">
    <w:name w:val="footer"/>
    <w:basedOn w:val="1"/>
    <w:link w:val="29"/>
    <w:qFormat/>
    <w:uiPriority w:val="0"/>
    <w:pPr>
      <w:widowControl/>
      <w:tabs>
        <w:tab w:val="center" w:pos="4153"/>
        <w:tab w:val="right" w:pos="8306"/>
      </w:tabs>
      <w:snapToGrid w:val="0"/>
      <w:jc w:val="left"/>
    </w:pPr>
    <w:rPr>
      <w:rFonts w:ascii="Times New Roman" w:hAnsi="Times New Roman"/>
      <w:kern w:val="0"/>
      <w:sz w:val="18"/>
      <w:szCs w:val="20"/>
    </w:rPr>
  </w:style>
  <w:style w:type="paragraph" w:styleId="18">
    <w:name w:val="header"/>
    <w:basedOn w:val="1"/>
    <w:link w:val="28"/>
    <w:qFormat/>
    <w:uiPriority w:val="0"/>
    <w:pPr>
      <w:widowControl/>
      <w:tabs>
        <w:tab w:val="center" w:pos="4153"/>
        <w:tab w:val="right" w:pos="8306"/>
      </w:tabs>
      <w:snapToGrid w:val="0"/>
      <w:jc w:val="center"/>
    </w:pPr>
    <w:rPr>
      <w:rFonts w:ascii="Times New Roman" w:hAnsi="Times New Roman"/>
      <w:kern w:val="0"/>
      <w:sz w:val="18"/>
      <w:szCs w:val="20"/>
    </w:rPr>
  </w:style>
  <w:style w:type="paragraph" w:styleId="19">
    <w:name w:val="toc 1"/>
    <w:basedOn w:val="1"/>
    <w:next w:val="1"/>
    <w:qFormat/>
    <w:uiPriority w:val="39"/>
    <w:pPr>
      <w:widowControl/>
      <w:jc w:val="left"/>
    </w:pPr>
    <w:rPr>
      <w:rFonts w:ascii="Times New Roman" w:hAnsi="Times New Roman"/>
      <w:kern w:val="0"/>
      <w:sz w:val="20"/>
      <w:szCs w:val="20"/>
    </w:rPr>
  </w:style>
  <w:style w:type="paragraph" w:styleId="20">
    <w:name w:val="toc 4"/>
    <w:basedOn w:val="1"/>
    <w:next w:val="1"/>
    <w:unhideWhenUsed/>
    <w:qFormat/>
    <w:uiPriority w:val="39"/>
    <w:pPr>
      <w:ind w:left="630"/>
      <w:jc w:val="left"/>
    </w:pPr>
    <w:rPr>
      <w:sz w:val="18"/>
      <w:szCs w:val="18"/>
    </w:rPr>
  </w:style>
  <w:style w:type="paragraph" w:styleId="21">
    <w:name w:val="toc 2"/>
    <w:basedOn w:val="1"/>
    <w:next w:val="1"/>
    <w:qFormat/>
    <w:uiPriority w:val="99"/>
    <w:pPr>
      <w:widowControl/>
      <w:jc w:val="center"/>
      <w:outlineLvl w:val="0"/>
    </w:pPr>
    <w:rPr>
      <w:rFonts w:cs="Arial" w:asciiTheme="minorEastAsia" w:hAnsiTheme="minorEastAsia" w:eastAsiaTheme="minorEastAsia"/>
      <w:kern w:val="0"/>
      <w:sz w:val="24"/>
      <w:szCs w:val="24"/>
    </w:rPr>
  </w:style>
  <w:style w:type="paragraph" w:styleId="22">
    <w:name w:val="Normal (Web)"/>
    <w:basedOn w:val="1"/>
    <w:unhideWhenUsed/>
    <w:qFormat/>
    <w:uiPriority w:val="99"/>
    <w:pPr>
      <w:widowControl/>
      <w:spacing w:before="100" w:beforeLines="0" w:beforeAutospacing="1" w:after="100" w:afterLines="0" w:afterAutospacing="1"/>
      <w:jc w:val="left"/>
    </w:pPr>
    <w:rPr>
      <w:kern w:val="0"/>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99"/>
    <w:rPr>
      <w:color w:val="0000FF"/>
      <w:u w:val="single"/>
    </w:rPr>
  </w:style>
  <w:style w:type="character" w:customStyle="1" w:styleId="28">
    <w:name w:val="页眉 Char"/>
    <w:basedOn w:val="25"/>
    <w:link w:val="18"/>
    <w:qFormat/>
    <w:uiPriority w:val="0"/>
    <w:rPr>
      <w:rFonts w:ascii="Times New Roman" w:hAnsi="Times New Roman" w:eastAsia="宋体" w:cs="Times New Roman"/>
      <w:kern w:val="0"/>
      <w:sz w:val="18"/>
      <w:szCs w:val="20"/>
    </w:rPr>
  </w:style>
  <w:style w:type="character" w:customStyle="1" w:styleId="29">
    <w:name w:val="页脚 Char"/>
    <w:basedOn w:val="25"/>
    <w:link w:val="17"/>
    <w:qFormat/>
    <w:uiPriority w:val="0"/>
    <w:rPr>
      <w:rFonts w:ascii="Times New Roman" w:hAnsi="Times New Roman" w:eastAsia="宋体" w:cs="Times New Roman"/>
      <w:kern w:val="0"/>
      <w:sz w:val="18"/>
      <w:szCs w:val="20"/>
    </w:rPr>
  </w:style>
  <w:style w:type="paragraph" w:customStyle="1" w:styleId="30">
    <w:name w:val="List Paragraph"/>
    <w:basedOn w:val="1"/>
    <w:qFormat/>
    <w:uiPriority w:val="34"/>
    <w:pPr>
      <w:ind w:firstLine="420" w:firstLineChars="200"/>
    </w:pPr>
    <w:rPr>
      <w:rFonts w:ascii="Times New Roman" w:hAnsi="Times New Roman"/>
      <w:szCs w:val="24"/>
    </w:rPr>
  </w:style>
  <w:style w:type="character" w:customStyle="1" w:styleId="31">
    <w:name w:val="纯文本 Char"/>
    <w:basedOn w:val="25"/>
    <w:link w:val="13"/>
    <w:qFormat/>
    <w:uiPriority w:val="0"/>
    <w:rPr>
      <w:rFonts w:ascii="宋体" w:hAnsi="Courier New"/>
      <w:kern w:val="2"/>
      <w:sz w:val="21"/>
    </w:rPr>
  </w:style>
  <w:style w:type="character" w:customStyle="1" w:styleId="32">
    <w:name w:val="标题 1 Char"/>
    <w:basedOn w:val="25"/>
    <w:link w:val="4"/>
    <w:qFormat/>
    <w:uiPriority w:val="99"/>
    <w:rPr>
      <w:b/>
      <w:bCs/>
      <w:kern w:val="44"/>
      <w:sz w:val="44"/>
      <w:szCs w:val="44"/>
    </w:rPr>
  </w:style>
  <w:style w:type="paragraph" w:customStyle="1" w:styleId="33">
    <w:name w:val="TOC Heading"/>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4">
    <w:name w:val="标题 2 Char"/>
    <w:basedOn w:val="25"/>
    <w:link w:val="5"/>
    <w:qFormat/>
    <w:uiPriority w:val="99"/>
    <w:rPr>
      <w:rFonts w:ascii="Cambria" w:hAnsi="Cambria" w:eastAsia="宋体" w:cs="Times New Roman"/>
      <w:b/>
      <w:bCs/>
      <w:kern w:val="2"/>
      <w:sz w:val="32"/>
      <w:szCs w:val="32"/>
    </w:rPr>
  </w:style>
  <w:style w:type="character" w:customStyle="1" w:styleId="35">
    <w:name w:val="标题 3 Char"/>
    <w:basedOn w:val="25"/>
    <w:link w:val="6"/>
    <w:qFormat/>
    <w:uiPriority w:val="99"/>
    <w:rPr>
      <w:rFonts w:ascii="Times New Roman" w:hAnsi="Times New Roman"/>
      <w:b/>
      <w:kern w:val="2"/>
      <w:sz w:val="28"/>
    </w:rPr>
  </w:style>
  <w:style w:type="character" w:customStyle="1" w:styleId="36">
    <w:name w:val="标题 4 Char"/>
    <w:basedOn w:val="25"/>
    <w:link w:val="8"/>
    <w:qFormat/>
    <w:uiPriority w:val="99"/>
    <w:rPr>
      <w:rFonts w:ascii="Times New Roman" w:hAnsi="Times New Roman"/>
      <w:b/>
      <w:kern w:val="2"/>
      <w:sz w:val="28"/>
    </w:rPr>
  </w:style>
  <w:style w:type="character" w:customStyle="1" w:styleId="37">
    <w:name w:val="标题 5 Char"/>
    <w:basedOn w:val="25"/>
    <w:link w:val="9"/>
    <w:qFormat/>
    <w:uiPriority w:val="99"/>
    <w:rPr>
      <w:rFonts w:ascii="Times New Roman" w:hAnsi="Times New Roman"/>
      <w:b/>
      <w:kern w:val="2"/>
      <w:sz w:val="28"/>
    </w:rPr>
  </w:style>
  <w:style w:type="character" w:customStyle="1" w:styleId="38">
    <w:name w:val="标题 6 Char"/>
    <w:basedOn w:val="25"/>
    <w:link w:val="10"/>
    <w:qFormat/>
    <w:uiPriority w:val="99"/>
    <w:rPr>
      <w:rFonts w:ascii="Times New Roman" w:hAnsi="Times New Roman"/>
      <w:b/>
      <w:kern w:val="2"/>
      <w:sz w:val="28"/>
    </w:rPr>
  </w:style>
  <w:style w:type="character" w:customStyle="1" w:styleId="39">
    <w:name w:val="标题 7 Char"/>
    <w:basedOn w:val="25"/>
    <w:link w:val="11"/>
    <w:qFormat/>
    <w:uiPriority w:val="99"/>
    <w:rPr>
      <w:rFonts w:ascii="Times New Roman" w:hAnsi="Times New Roman"/>
      <w:b/>
      <w:kern w:val="2"/>
      <w:sz w:val="28"/>
    </w:rPr>
  </w:style>
  <w:style w:type="character" w:customStyle="1" w:styleId="40">
    <w:name w:val="日期 Char"/>
    <w:basedOn w:val="25"/>
    <w:link w:val="14"/>
    <w:qFormat/>
    <w:uiPriority w:val="99"/>
    <w:rPr>
      <w:rFonts w:ascii="Times New Roman" w:hAnsi="Times New Roman"/>
      <w:sz w:val="28"/>
    </w:rPr>
  </w:style>
  <w:style w:type="character" w:customStyle="1" w:styleId="41">
    <w:name w:val="Plain Text Char1"/>
    <w:basedOn w:val="25"/>
    <w:semiHidden/>
    <w:qFormat/>
    <w:uiPriority w:val="99"/>
    <w:rPr>
      <w:rFonts w:ascii="宋体" w:hAnsi="Courier New" w:cs="Courier New"/>
      <w:szCs w:val="21"/>
    </w:rPr>
  </w:style>
  <w:style w:type="character" w:customStyle="1" w:styleId="42">
    <w:name w:val="纯文本 Char1"/>
    <w:basedOn w:val="25"/>
    <w:semiHidden/>
    <w:qFormat/>
    <w:locked/>
    <w:uiPriority w:val="99"/>
    <w:rPr>
      <w:rFonts w:ascii="宋体" w:hAnsi="Courier New" w:eastAsia="宋体" w:cs="Courier New"/>
      <w:sz w:val="21"/>
      <w:szCs w:val="21"/>
    </w:rPr>
  </w:style>
  <w:style w:type="paragraph" w:customStyle="1" w:styleId="43">
    <w:name w:val="节标题"/>
    <w:basedOn w:val="1"/>
    <w:qFormat/>
    <w:uiPriority w:val="99"/>
    <w:pPr>
      <w:spacing w:before="100" w:after="100" w:line="360" w:lineRule="exact"/>
      <w:ind w:firstLine="480"/>
    </w:pPr>
    <w:rPr>
      <w:rFonts w:ascii="Arial" w:hAnsi="Arial"/>
      <w:b/>
      <w:sz w:val="24"/>
      <w:szCs w:val="20"/>
    </w:rPr>
  </w:style>
  <w:style w:type="paragraph" w:customStyle="1" w:styleId="44">
    <w:name w:val="页脚1"/>
    <w:basedOn w:val="17"/>
    <w:qFormat/>
    <w:uiPriority w:val="0"/>
    <w:pPr>
      <w:widowControl w:val="0"/>
      <w:tabs>
        <w:tab w:val="center" w:pos="4082"/>
        <w:tab w:val="center" w:pos="13948"/>
        <w:tab w:val="clear" w:pos="4153"/>
        <w:tab w:val="clear" w:pos="8306"/>
      </w:tabs>
      <w:adjustRightInd w:val="0"/>
      <w:snapToGrid/>
      <w:spacing w:line="240" w:lineRule="atLeast"/>
      <w:textAlignment w:val="baseline"/>
    </w:pPr>
    <w:rPr>
      <w:sz w:val="24"/>
      <w:szCs w:val="18"/>
    </w:rPr>
  </w:style>
  <w:style w:type="character" w:customStyle="1" w:styleId="45">
    <w:name w:val="批注框文本 Char"/>
    <w:basedOn w:val="25"/>
    <w:link w:val="16"/>
    <w:semiHidden/>
    <w:qFormat/>
    <w:uiPriority w:val="99"/>
    <w:rPr>
      <w:kern w:val="2"/>
      <w:sz w:val="18"/>
      <w:szCs w:val="18"/>
    </w:rPr>
  </w:style>
  <w:style w:type="paragraph" w:customStyle="1" w:styleId="4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47">
    <w:name w:val="_Style 3"/>
    <w:basedOn w:val="4"/>
    <w:next w:val="1"/>
    <w:unhideWhenUsed/>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4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9">
    <w:name w:val="热动标题2"/>
    <w:basedOn w:val="1"/>
    <w:qFormat/>
    <w:uiPriority w:val="0"/>
    <w:pPr>
      <w:numPr>
        <w:ilvl w:val="1"/>
        <w:numId w:val="1"/>
      </w:numPr>
      <w:adjustRightInd w:val="0"/>
      <w:spacing w:beforeLines="50" w:afterLines="50" w:line="300" w:lineRule="auto"/>
      <w:ind w:left="0" w:firstLine="0" w:firstLineChars="0"/>
      <w:jc w:val="left"/>
      <w:textAlignment w:val="baseline"/>
      <w:outlineLvl w:val="1"/>
    </w:pPr>
    <w:rPr>
      <w:sz w:val="24"/>
    </w:rPr>
  </w:style>
  <w:style w:type="paragraph" w:customStyle="1" w:styleId="50">
    <w:name w:val="正文目录 + 首行缩进:  2 字符 + 首行缩进:  2 字符 + 首行缩进:  2 字符"/>
    <w:basedOn w:val="1"/>
    <w:qFormat/>
    <w:uiPriority w:val="99"/>
    <w:pPr>
      <w:spacing w:line="360" w:lineRule="auto"/>
      <w:jc w:val="center"/>
    </w:pPr>
    <w:rPr>
      <w:rFonts w:ascii="仿宋_GB2312" w:hAnsi="宋体" w:eastAsia="仿宋_GB2312"/>
      <w:b/>
      <w:kern w:val="0"/>
      <w:sz w:val="36"/>
    </w:rPr>
  </w:style>
  <w:style w:type="paragraph" w:customStyle="1" w:styleId="51">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52">
    <w:name w:val="表格标题"/>
    <w:basedOn w:val="1"/>
    <w:qFormat/>
    <w:uiPriority w:val="0"/>
    <w:pPr>
      <w:adjustRightInd w:val="0"/>
      <w:snapToGrid w:val="0"/>
      <w:spacing w:after="156" w:afterLines="50" w:line="360" w:lineRule="auto"/>
      <w:jc w:val="center"/>
    </w:pPr>
    <w:rPr>
      <w:rFonts w:eastAsia="黑体"/>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7002</Words>
  <Characters>39915</Characters>
  <Lines>332</Lines>
  <Paragraphs>93</Paragraphs>
  <TotalTime>6</TotalTime>
  <ScaleCrop>false</ScaleCrop>
  <LinksUpToDate>false</LinksUpToDate>
  <CharactersWithSpaces>46824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2017-03-11T07:31:00Z</dcterms:created>
  <dc:creator>倪进琼</dc:creator>
  <cp:lastModifiedBy>佐繎</cp:lastModifiedBy>
  <cp:lastPrinted>2021-04-02T03:25:00Z</cp:lastPrinted>
  <dcterms:modified xsi:type="dcterms:W3CDTF">2022-05-06T08:24:30Z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