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eastAsia="宋体"/>
          <w:b/>
          <w:color w:val="auto"/>
          <w:sz w:val="44"/>
          <w:szCs w:val="44"/>
          <w:lang w:eastAsia="zh-CN"/>
        </w:rPr>
      </w:pPr>
      <w:r>
        <w:rPr>
          <w:rFonts w:hint="eastAsia"/>
          <w:b/>
          <w:color w:val="auto"/>
          <w:sz w:val="44"/>
          <w:szCs w:val="44"/>
          <w:lang w:eastAsia="zh-CN"/>
        </w:rPr>
        <w:t>川投（</w:t>
      </w:r>
      <w:r>
        <w:rPr>
          <w:rFonts w:hint="eastAsia"/>
          <w:b/>
          <w:color w:val="auto"/>
          <w:sz w:val="44"/>
          <w:szCs w:val="44"/>
          <w:lang w:val="en-US" w:eastAsia="zh-CN"/>
        </w:rPr>
        <w:t>达州</w:t>
      </w:r>
      <w:r>
        <w:rPr>
          <w:rFonts w:hint="eastAsia"/>
          <w:b/>
          <w:color w:val="auto"/>
          <w:sz w:val="44"/>
          <w:szCs w:val="44"/>
          <w:lang w:eastAsia="zh-CN"/>
        </w:rPr>
        <w:t>）燃气发电有限公司</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cs="宋体"/>
          <w:b/>
          <w:bCs/>
          <w:color w:val="auto"/>
          <w:sz w:val="44"/>
          <w:highlight w:val="none"/>
          <w:lang w:val="en-US" w:eastAsia="zh-CN"/>
        </w:rPr>
      </w:pPr>
      <w:r>
        <w:rPr>
          <w:rFonts w:hint="eastAsia" w:ascii="宋体" w:hAnsi="宋体" w:cs="宋体"/>
          <w:b/>
          <w:bCs/>
          <w:color w:val="auto"/>
          <w:sz w:val="44"/>
          <w:highlight w:val="none"/>
          <w:lang w:val="en-US" w:eastAsia="zh-CN"/>
        </w:rPr>
        <w:t>四川达州燃气电站二期工程</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b/>
          <w:bCs w:val="0"/>
          <w:color w:val="auto"/>
          <w:sz w:val="44"/>
          <w:szCs w:val="44"/>
          <w:lang w:val="en-US" w:eastAsia="zh-CN"/>
        </w:rPr>
      </w:pPr>
      <w:r>
        <w:rPr>
          <w:rFonts w:hint="eastAsia" w:ascii="宋体" w:hAnsi="宋体" w:cs="宋体"/>
          <w:b/>
          <w:bCs/>
          <w:color w:val="auto"/>
          <w:sz w:val="44"/>
          <w:highlight w:val="none"/>
          <w:lang w:val="en-US" w:eastAsia="zh-CN"/>
        </w:rPr>
        <w:t>规划建设控制指标可行性论证报告</w:t>
      </w:r>
      <w:r>
        <w:rPr>
          <w:rFonts w:hint="eastAsia"/>
          <w:b/>
          <w:color w:val="auto"/>
          <w:sz w:val="44"/>
          <w:szCs w:val="44"/>
          <w:lang w:val="en-US" w:eastAsia="zh-CN"/>
        </w:rPr>
        <w:t>编制</w:t>
      </w:r>
    </w:p>
    <w:p>
      <w:pPr>
        <w:keepNext w:val="0"/>
        <w:keepLines w:val="0"/>
        <w:autoSpaceDE/>
        <w:autoSpaceDN/>
        <w:adjustRightInd/>
        <w:snapToGrid/>
        <w:spacing w:line="600" w:lineRule="auto"/>
        <w:jc w:val="center"/>
        <w:rPr>
          <w:color w:val="auto"/>
        </w:rPr>
      </w:pPr>
      <w:r>
        <w:rPr>
          <w:rFonts w:hint="eastAsia"/>
          <w:b/>
          <w:color w:val="auto"/>
          <w:sz w:val="44"/>
          <w:szCs w:val="44"/>
        </w:rPr>
        <w:t>中介机构</w:t>
      </w:r>
      <w:r>
        <w:rPr>
          <w:rFonts w:hint="eastAsia"/>
          <w:b/>
          <w:color w:val="auto"/>
          <w:sz w:val="44"/>
          <w:szCs w:val="44"/>
          <w:lang w:eastAsia="zh-CN"/>
        </w:rPr>
        <w:t>选聘</w:t>
      </w:r>
      <w:bookmarkStart w:id="0" w:name="_Toc11111"/>
      <w:bookmarkStart w:id="1" w:name="_Toc16549"/>
      <w:bookmarkStart w:id="2" w:name="_Toc26641"/>
      <w:bookmarkStart w:id="3" w:name="_Toc4872"/>
      <w:bookmarkStart w:id="4" w:name="_Toc2067"/>
      <w:bookmarkStart w:id="5" w:name="_Toc17186211"/>
      <w:bookmarkStart w:id="6" w:name="_Toc109212584"/>
      <w:bookmarkStart w:id="7" w:name="_Toc44141193"/>
      <w:bookmarkStart w:id="8" w:name="_Toc16393651"/>
      <w:r>
        <w:rPr>
          <w:rFonts w:hint="eastAsia" w:ascii="宋体" w:hAnsi="宋体" w:cs="宋体"/>
          <w:b/>
          <w:bCs/>
          <w:color w:val="auto"/>
          <w:sz w:val="44"/>
          <w:highlight w:val="none"/>
        </w:rPr>
        <w:t>比选公告</w:t>
      </w:r>
      <w:bookmarkEnd w:id="0"/>
      <w:bookmarkEnd w:id="1"/>
      <w:bookmarkEnd w:id="2"/>
      <w:bookmarkEnd w:id="3"/>
      <w:bookmarkEnd w:id="4"/>
    </w:p>
    <w:p>
      <w:pPr>
        <w:spacing w:line="360" w:lineRule="auto"/>
        <w:ind w:firstLine="480" w:firstLineChars="200"/>
        <w:rPr>
          <w:rFonts w:ascii="仿宋_GB2312" w:eastAsia="仿宋_GB2312"/>
          <w:color w:val="auto"/>
          <w:sz w:val="24"/>
        </w:rPr>
      </w:pPr>
      <w:r>
        <w:rPr>
          <w:rFonts w:hint="eastAsia" w:ascii="仿宋_GB2312" w:eastAsia="仿宋_GB2312"/>
          <w:color w:val="auto"/>
          <w:sz w:val="24"/>
          <w:lang w:eastAsia="zh-CN"/>
        </w:rPr>
        <w:t>川投（达州）燃气发电有</w:t>
      </w:r>
      <w:r>
        <w:rPr>
          <w:rFonts w:hint="eastAsia" w:ascii="仿宋_GB2312" w:hAnsi="Times New Roman" w:eastAsia="仿宋_GB2312" w:cs="Times New Roman"/>
          <w:color w:val="auto"/>
          <w:sz w:val="24"/>
          <w:lang w:val="en-US" w:eastAsia="zh-CN"/>
        </w:rPr>
        <w:t>限公司（以下简称“达州气电”或“比选人”）拟开展规划建设控制指标可行性论证报告编制工作，根据公司《采购管理办法》规定</w:t>
      </w:r>
      <w:r>
        <w:rPr>
          <w:rFonts w:hint="eastAsia" w:ascii="仿宋_GB2312" w:eastAsia="仿宋_GB2312"/>
          <w:color w:val="auto"/>
          <w:sz w:val="24"/>
        </w:rPr>
        <w:t>，</w:t>
      </w:r>
      <w:r>
        <w:rPr>
          <w:rFonts w:hint="eastAsia" w:ascii="仿宋_GB2312" w:eastAsia="仿宋_GB2312"/>
          <w:color w:val="auto"/>
          <w:sz w:val="24"/>
          <w:lang w:val="en-US" w:eastAsia="zh-CN"/>
        </w:rPr>
        <w:t>现</w:t>
      </w:r>
      <w:r>
        <w:rPr>
          <w:rFonts w:hint="eastAsia" w:ascii="仿宋_GB2312" w:eastAsia="仿宋_GB2312"/>
          <w:color w:val="auto"/>
          <w:sz w:val="24"/>
        </w:rPr>
        <w:t>通过公开比选方式选聘中介机构</w:t>
      </w:r>
      <w:r>
        <w:rPr>
          <w:rFonts w:hint="eastAsia" w:ascii="仿宋_GB2312" w:eastAsia="仿宋_GB2312"/>
          <w:color w:val="auto"/>
          <w:sz w:val="24"/>
          <w:lang w:eastAsia="zh-CN"/>
        </w:rPr>
        <w:t>提供</w:t>
      </w:r>
      <w:r>
        <w:rPr>
          <w:rFonts w:hint="eastAsia" w:ascii="仿宋_GB2312" w:eastAsia="仿宋_GB2312"/>
          <w:color w:val="auto"/>
          <w:sz w:val="24"/>
          <w:lang w:val="en-US" w:eastAsia="zh-CN"/>
        </w:rPr>
        <w:t>可行性论证报告编制</w:t>
      </w:r>
      <w:r>
        <w:rPr>
          <w:rFonts w:hint="eastAsia" w:ascii="仿宋_GB2312" w:eastAsia="仿宋_GB2312"/>
          <w:color w:val="auto"/>
          <w:sz w:val="24"/>
        </w:rPr>
        <w:t>服务，欢迎符合资质条件的中介机构申请参加</w:t>
      </w:r>
      <w:r>
        <w:rPr>
          <w:rFonts w:hint="eastAsia" w:ascii="仿宋_GB2312" w:eastAsia="仿宋_GB2312"/>
          <w:color w:val="auto"/>
          <w:sz w:val="24"/>
          <w:lang w:val="en-US" w:eastAsia="zh-CN"/>
        </w:rPr>
        <w:t>本次</w:t>
      </w:r>
      <w:r>
        <w:rPr>
          <w:rFonts w:hint="eastAsia" w:ascii="仿宋_GB2312" w:eastAsia="仿宋_GB2312"/>
          <w:color w:val="auto"/>
          <w:sz w:val="24"/>
        </w:rPr>
        <w:t>比选活动。</w:t>
      </w:r>
    </w:p>
    <w:p>
      <w:pPr>
        <w:spacing w:line="360" w:lineRule="auto"/>
        <w:ind w:firstLine="482" w:firstLineChars="200"/>
        <w:outlineLvl w:val="1"/>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lang w:val="en-US" w:eastAsia="zh-CN"/>
        </w:rPr>
        <w:t>一、委托的主要工作内容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Times New Roman" w:eastAsia="仿宋_GB2312" w:cs="Times New Roman"/>
          <w:color w:val="auto"/>
          <w:sz w:val="24"/>
          <w:szCs w:val="24"/>
          <w:lang w:val="en-US" w:eastAsia="zh-CN"/>
        </w:rPr>
      </w:pPr>
      <w:r>
        <w:rPr>
          <w:rFonts w:hint="default" w:ascii="仿宋_GB2312" w:hAnsi="Times New Roman" w:eastAsia="仿宋_GB2312" w:cs="Times New Roman"/>
          <w:color w:val="auto"/>
          <w:sz w:val="24"/>
          <w:szCs w:val="24"/>
          <w:lang w:val="en-US" w:eastAsia="zh-CN"/>
        </w:rPr>
        <w:t>根据</w:t>
      </w:r>
      <w:r>
        <w:rPr>
          <w:rFonts w:hint="eastAsia" w:ascii="仿宋_GB2312" w:hAnsi="Times New Roman" w:eastAsia="仿宋_GB2312" w:cs="Times New Roman"/>
          <w:color w:val="auto"/>
          <w:sz w:val="24"/>
          <w:szCs w:val="24"/>
          <w:lang w:val="en-US" w:eastAsia="zh-CN"/>
        </w:rPr>
        <w:t>《中华人民共和国城乡规划法》、《工业项目建设用地控制指标》、《达州市国土空间规划管理技术规定（20210)版》、《建设用地容积率管理办法》（GB50137-2011）</w:t>
      </w:r>
      <w:r>
        <w:rPr>
          <w:rFonts w:hint="default" w:ascii="仿宋_GB2312" w:hAnsi="Times New Roman" w:eastAsia="仿宋_GB2312" w:cs="Times New Roman"/>
          <w:color w:val="auto"/>
          <w:sz w:val="24"/>
          <w:szCs w:val="24"/>
          <w:lang w:val="en-US" w:eastAsia="zh-CN"/>
        </w:rPr>
        <w:t>等国家及地方最新颁布的有关规定和规范，编制</w:t>
      </w:r>
      <w:r>
        <w:rPr>
          <w:rFonts w:hint="eastAsia" w:ascii="仿宋_GB2312" w:hAnsi="Times New Roman" w:eastAsia="仿宋_GB2312" w:cs="Times New Roman"/>
          <w:color w:val="auto"/>
          <w:sz w:val="24"/>
          <w:szCs w:val="24"/>
          <w:lang w:val="en-US" w:eastAsia="zh-CN"/>
        </w:rPr>
        <w:t>四川达州燃气电站二期工程规划建设控制指标可行性论证报告并组织专家进行评审，根据评审组提出的评审意见修改、完善项目规划建设控制指标可行性论证报告后，按规定报达州市规划委员会上会讨论通过。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仿宋_GB2312" w:hAnsi="Times New Roman" w:eastAsia="仿宋_GB2312" w:cs="Times New Roman"/>
          <w:color w:val="auto"/>
          <w:sz w:val="24"/>
          <w:szCs w:val="24"/>
          <w:lang w:val="en-US" w:eastAsia="zh-CN"/>
        </w:rPr>
      </w:pPr>
      <w:r>
        <w:rPr>
          <w:rFonts w:hint="default" w:ascii="仿宋_GB2312" w:hAnsi="Times New Roman" w:eastAsia="仿宋_GB2312" w:cs="Times New Roman"/>
          <w:color w:val="auto"/>
          <w:sz w:val="24"/>
          <w:szCs w:val="24"/>
          <w:lang w:val="en-US" w:eastAsia="zh-CN"/>
        </w:rPr>
        <w:t>工期要求：签订合同之日起</w:t>
      </w:r>
      <w:r>
        <w:rPr>
          <w:rFonts w:hint="eastAsia" w:ascii="仿宋_GB2312" w:eastAsia="仿宋_GB2312" w:cs="Times New Roman"/>
          <w:color w:val="auto"/>
          <w:sz w:val="24"/>
          <w:szCs w:val="24"/>
          <w:lang w:val="en-US" w:eastAsia="zh-CN"/>
        </w:rPr>
        <w:t>15</w:t>
      </w:r>
      <w:r>
        <w:rPr>
          <w:rFonts w:hint="default" w:ascii="仿宋_GB2312" w:hAnsi="Times New Roman" w:eastAsia="仿宋_GB2312" w:cs="Times New Roman"/>
          <w:color w:val="auto"/>
          <w:sz w:val="24"/>
          <w:szCs w:val="24"/>
          <w:lang w:val="en-US" w:eastAsia="zh-CN"/>
        </w:rPr>
        <w:t>日历天完成报告编制及完成报告审查。</w:t>
      </w:r>
    </w:p>
    <w:p>
      <w:pPr>
        <w:spacing w:line="360" w:lineRule="auto"/>
        <w:ind w:firstLine="482" w:firstLineChars="200"/>
        <w:outlineLvl w:val="1"/>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lang w:val="en-US" w:eastAsia="zh-CN"/>
        </w:rPr>
        <w:t>二、对比选申请人的资格要求</w:t>
      </w:r>
    </w:p>
    <w:p>
      <w:pPr>
        <w:spacing w:line="360" w:lineRule="auto"/>
        <w:ind w:firstLine="480" w:firstLineChars="200"/>
        <w:rPr>
          <w:rFonts w:hint="eastAsia" w:ascii="仿宋_GB2312" w:hAnsi="Times New Roman" w:eastAsia="仿宋_GB2312" w:cs="Times New Roman"/>
          <w:b w:val="0"/>
          <w:color w:val="auto"/>
          <w:sz w:val="24"/>
          <w:highlight w:val="none"/>
        </w:rPr>
      </w:pPr>
      <w:r>
        <w:rPr>
          <w:rFonts w:hint="eastAsia" w:ascii="仿宋_GB2312" w:hAnsi="Times New Roman" w:eastAsia="仿宋_GB2312" w:cs="Times New Roman"/>
          <w:b w:val="0"/>
          <w:color w:val="auto"/>
          <w:sz w:val="24"/>
          <w:highlight w:val="none"/>
        </w:rPr>
        <w:t xml:space="preserve">（一）比选申请人具有独立承担民事责任能力，在中华人民共和国境内依法注册的法人或其他组织； </w:t>
      </w:r>
    </w:p>
    <w:p>
      <w:pPr>
        <w:spacing w:line="360" w:lineRule="auto"/>
        <w:ind w:firstLine="480" w:firstLineChars="200"/>
        <w:rPr>
          <w:rFonts w:hint="eastAsia" w:ascii="仿宋_GB2312" w:hAnsi="Times New Roman" w:eastAsia="仿宋_GB2312" w:cs="Times New Roman"/>
          <w:b w:val="0"/>
          <w:color w:val="auto"/>
          <w:sz w:val="24"/>
          <w:highlight w:val="none"/>
        </w:rPr>
      </w:pPr>
      <w:r>
        <w:rPr>
          <w:rFonts w:hint="eastAsia" w:ascii="仿宋_GB2312" w:hAnsi="Times New Roman" w:eastAsia="仿宋_GB2312" w:cs="Times New Roman"/>
          <w:b w:val="0"/>
          <w:color w:val="auto"/>
          <w:sz w:val="24"/>
          <w:highlight w:val="none"/>
          <w:lang w:eastAsia="zh-CN"/>
        </w:rPr>
        <w:t>（</w:t>
      </w:r>
      <w:r>
        <w:rPr>
          <w:rFonts w:hint="eastAsia" w:ascii="仿宋_GB2312" w:hAnsi="Times New Roman" w:eastAsia="仿宋_GB2312" w:cs="Times New Roman"/>
          <w:b w:val="0"/>
          <w:color w:val="auto"/>
          <w:sz w:val="24"/>
          <w:highlight w:val="none"/>
          <w:lang w:val="en-US" w:eastAsia="zh-CN"/>
        </w:rPr>
        <w:t>二</w:t>
      </w:r>
      <w:r>
        <w:rPr>
          <w:rFonts w:hint="eastAsia" w:ascii="仿宋_GB2312" w:hAnsi="Times New Roman" w:eastAsia="仿宋_GB2312" w:cs="Times New Roman"/>
          <w:b w:val="0"/>
          <w:color w:val="auto"/>
          <w:sz w:val="24"/>
          <w:highlight w:val="none"/>
          <w:lang w:eastAsia="zh-CN"/>
        </w:rPr>
        <w:t>）</w:t>
      </w:r>
      <w:r>
        <w:rPr>
          <w:rFonts w:hint="eastAsia" w:ascii="仿宋_GB2312" w:hAnsi="Times New Roman" w:eastAsia="仿宋_GB2312" w:cs="Times New Roman"/>
          <w:b w:val="0"/>
          <w:color w:val="auto"/>
          <w:sz w:val="24"/>
          <w:highlight w:val="none"/>
        </w:rPr>
        <w:t>比选申请人具</w:t>
      </w:r>
      <w:r>
        <w:rPr>
          <w:rFonts w:hint="eastAsia" w:ascii="仿宋_GB2312" w:hAnsi="Times New Roman" w:eastAsia="仿宋_GB2312" w:cs="Times New Roman"/>
          <w:b w:val="0"/>
          <w:color w:val="auto"/>
          <w:sz w:val="24"/>
          <w:highlight w:val="none"/>
          <w:lang w:val="en-US" w:eastAsia="zh-CN"/>
        </w:rPr>
        <w:t>有自然资源厅城乡规划编制资质证书乙级或以上资质</w:t>
      </w:r>
      <w:r>
        <w:rPr>
          <w:rFonts w:hint="eastAsia" w:ascii="仿宋_GB2312" w:hAnsi="Times New Roman" w:eastAsia="仿宋_GB2312" w:cs="Times New Roman"/>
          <w:b w:val="0"/>
          <w:color w:val="auto"/>
          <w:sz w:val="24"/>
          <w:highlight w:val="none"/>
          <w:lang w:eastAsia="zh-CN"/>
        </w:rPr>
        <w:t>；</w:t>
      </w:r>
      <w:r>
        <w:rPr>
          <w:rFonts w:hint="eastAsia" w:ascii="仿宋_GB2312" w:hAnsi="Times New Roman" w:eastAsia="仿宋_GB2312" w:cs="Times New Roman"/>
          <w:b w:val="0"/>
          <w:color w:val="auto"/>
          <w:sz w:val="24"/>
          <w:highlight w:val="none"/>
        </w:rPr>
        <w:t xml:space="preserve"> </w:t>
      </w:r>
    </w:p>
    <w:p>
      <w:pPr>
        <w:spacing w:line="360" w:lineRule="auto"/>
        <w:ind w:firstLine="480" w:firstLineChars="200"/>
        <w:rPr>
          <w:rFonts w:hint="eastAsia" w:ascii="仿宋_GB2312" w:hAnsi="Times New Roman" w:eastAsia="仿宋_GB2312" w:cs="Times New Roman"/>
          <w:b w:val="0"/>
          <w:color w:val="auto"/>
          <w:sz w:val="24"/>
          <w:highlight w:val="none"/>
        </w:rPr>
      </w:pPr>
      <w:r>
        <w:rPr>
          <w:rFonts w:hint="eastAsia" w:ascii="仿宋_GB2312" w:hAnsi="Times New Roman" w:eastAsia="仿宋_GB2312" w:cs="Times New Roman"/>
          <w:b w:val="0"/>
          <w:color w:val="auto"/>
          <w:sz w:val="24"/>
          <w:highlight w:val="none"/>
        </w:rPr>
        <w:t>（</w:t>
      </w:r>
      <w:r>
        <w:rPr>
          <w:rFonts w:hint="eastAsia" w:ascii="仿宋_GB2312" w:hAnsi="Times New Roman" w:eastAsia="仿宋_GB2312" w:cs="Times New Roman"/>
          <w:b w:val="0"/>
          <w:color w:val="auto"/>
          <w:sz w:val="24"/>
          <w:highlight w:val="none"/>
          <w:lang w:val="en-US" w:eastAsia="zh-CN"/>
        </w:rPr>
        <w:t>三</w:t>
      </w:r>
      <w:r>
        <w:rPr>
          <w:rFonts w:hint="eastAsia" w:ascii="仿宋_GB2312" w:hAnsi="Times New Roman" w:eastAsia="仿宋_GB2312" w:cs="Times New Roman"/>
          <w:b w:val="0"/>
          <w:color w:val="auto"/>
          <w:sz w:val="24"/>
          <w:highlight w:val="none"/>
        </w:rPr>
        <w:t>）法律法规对合格比选申请人的其他要求、规定</w:t>
      </w:r>
      <w:r>
        <w:rPr>
          <w:rFonts w:hint="eastAsia" w:ascii="仿宋_GB2312" w:hAnsi="Times New Roman" w:eastAsia="仿宋_GB2312" w:cs="Times New Roman"/>
          <w:b w:val="0"/>
          <w:color w:val="auto"/>
          <w:sz w:val="24"/>
          <w:highlight w:val="none"/>
          <w:lang w:eastAsia="zh-CN"/>
        </w:rPr>
        <w:t>；</w:t>
      </w:r>
    </w:p>
    <w:p>
      <w:pPr>
        <w:spacing w:line="360" w:lineRule="auto"/>
        <w:ind w:firstLine="480" w:firstLineChars="200"/>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b w:val="0"/>
          <w:color w:val="auto"/>
          <w:sz w:val="24"/>
          <w:highlight w:val="none"/>
        </w:rPr>
        <w:t>（</w:t>
      </w:r>
      <w:r>
        <w:rPr>
          <w:rFonts w:hint="eastAsia" w:ascii="仿宋_GB2312" w:hAnsi="Times New Roman" w:eastAsia="仿宋_GB2312" w:cs="Times New Roman"/>
          <w:b w:val="0"/>
          <w:color w:val="auto"/>
          <w:sz w:val="24"/>
          <w:highlight w:val="none"/>
          <w:lang w:val="en-US" w:eastAsia="zh-CN"/>
        </w:rPr>
        <w:t>四</w:t>
      </w:r>
      <w:r>
        <w:rPr>
          <w:rFonts w:hint="eastAsia" w:ascii="仿宋_GB2312" w:hAnsi="Times New Roman" w:eastAsia="仿宋_GB2312" w:cs="Times New Roman"/>
          <w:b w:val="0"/>
          <w:color w:val="auto"/>
          <w:sz w:val="24"/>
          <w:highlight w:val="none"/>
        </w:rPr>
        <w:t>）比选申请人合法经营、依法执业，遵守法律法规、职业道德和执业准则，有良好社会信誉，近三年提供的中介服务未因重大执业质量等问题受到省国资委通报</w:t>
      </w:r>
      <w:r>
        <w:rPr>
          <w:rFonts w:hint="eastAsia" w:ascii="仿宋_GB2312" w:eastAsia="仿宋_GB2312"/>
          <w:color w:val="auto"/>
          <w:sz w:val="24"/>
          <w:highlight w:val="none"/>
          <w:lang w:eastAsia="zh-CN"/>
        </w:rPr>
        <w:t>；</w:t>
      </w:r>
    </w:p>
    <w:p>
      <w:pPr>
        <w:spacing w:line="360" w:lineRule="auto"/>
        <w:ind w:firstLine="480" w:firstLineChars="200"/>
        <w:rPr>
          <w:rFonts w:hint="eastAsia" w:ascii="仿宋_GB2312" w:eastAsia="仿宋_GB2312" w:cs="Times New Roman"/>
          <w:b w:val="0"/>
          <w:color w:val="auto"/>
          <w:sz w:val="24"/>
          <w:highlight w:val="none"/>
          <w:lang w:eastAsia="zh-CN"/>
        </w:rPr>
      </w:pPr>
      <w:r>
        <w:rPr>
          <w:rFonts w:hint="eastAsia" w:ascii="仿宋_GB2312" w:hAnsi="Times New Roman" w:eastAsia="仿宋_GB2312" w:cs="Times New Roman"/>
          <w:b w:val="0"/>
          <w:color w:val="auto"/>
          <w:sz w:val="24"/>
          <w:highlight w:val="none"/>
        </w:rPr>
        <w:t>（</w:t>
      </w:r>
      <w:r>
        <w:rPr>
          <w:rFonts w:hint="eastAsia" w:ascii="仿宋_GB2312" w:eastAsia="仿宋_GB2312" w:cs="Times New Roman"/>
          <w:b w:val="0"/>
          <w:color w:val="auto"/>
          <w:sz w:val="24"/>
          <w:highlight w:val="none"/>
          <w:lang w:val="en-US" w:eastAsia="zh-CN"/>
        </w:rPr>
        <w:t>五</w:t>
      </w:r>
      <w:r>
        <w:rPr>
          <w:rFonts w:hint="eastAsia" w:ascii="仿宋_GB2312" w:hAnsi="Times New Roman" w:eastAsia="仿宋_GB2312" w:cs="Times New Roman"/>
          <w:b w:val="0"/>
          <w:color w:val="auto"/>
          <w:sz w:val="24"/>
          <w:highlight w:val="none"/>
        </w:rPr>
        <w:t>）法定代表人为同一人的两个及两个以上法人，母公司、全资子公司及控股公司，均不得同时参加本项目投标</w:t>
      </w:r>
      <w:r>
        <w:rPr>
          <w:rFonts w:hint="eastAsia" w:ascii="仿宋_GB2312" w:eastAsia="仿宋_GB2312" w:cs="Times New Roman"/>
          <w:b w:val="0"/>
          <w:color w:val="auto"/>
          <w:sz w:val="24"/>
          <w:highlight w:val="none"/>
          <w:lang w:eastAsia="zh-CN"/>
        </w:rPr>
        <w:t>。</w:t>
      </w:r>
    </w:p>
    <w:p>
      <w:pPr>
        <w:spacing w:line="360" w:lineRule="auto"/>
        <w:ind w:firstLine="482" w:firstLineChars="200"/>
        <w:outlineLvl w:val="1"/>
        <w:rPr>
          <w:rFonts w:hint="default"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lang w:val="en-US" w:eastAsia="zh-CN"/>
        </w:rPr>
        <w:t>三、比选文件获取</w:t>
      </w:r>
    </w:p>
    <w:p>
      <w:pPr>
        <w:spacing w:line="360" w:lineRule="auto"/>
        <w:ind w:firstLine="480" w:firstLineChars="200"/>
        <w:rPr>
          <w:rFonts w:hint="eastAsia" w:ascii="仿宋_GB2312" w:hAnsi="Times New Roman" w:eastAsia="仿宋_GB2312" w:cs="Times New Roman"/>
          <w:b w:val="0"/>
          <w:color w:val="auto"/>
          <w:sz w:val="24"/>
          <w:highlight w:val="none"/>
          <w:lang w:eastAsia="zh-CN"/>
        </w:rPr>
      </w:pPr>
      <w:bookmarkStart w:id="9" w:name="_Toc9061"/>
      <w:bookmarkStart w:id="10" w:name="_Toc32281"/>
      <w:bookmarkStart w:id="11" w:name="_Toc14884"/>
      <w:bookmarkStart w:id="12" w:name="_Toc20456"/>
      <w:r>
        <w:rPr>
          <w:rFonts w:hint="eastAsia" w:ascii="仿宋_GB2312" w:hAnsi="Times New Roman" w:eastAsia="仿宋_GB2312" w:cs="Times New Roman"/>
          <w:b w:val="0"/>
          <w:color w:val="auto"/>
          <w:sz w:val="24"/>
          <w:highlight w:val="none"/>
          <w:lang w:val="en-US" w:eastAsia="zh-CN"/>
        </w:rPr>
        <w:t>（一）</w:t>
      </w:r>
      <w:r>
        <w:rPr>
          <w:rFonts w:hint="eastAsia" w:ascii="仿宋_GB2312" w:hAnsi="Times New Roman" w:eastAsia="仿宋_GB2312" w:cs="Times New Roman"/>
          <w:b w:val="0"/>
          <w:color w:val="auto"/>
          <w:sz w:val="24"/>
          <w:highlight w:val="none"/>
        </w:rPr>
        <w:t>凡有意参加</w:t>
      </w:r>
      <w:r>
        <w:rPr>
          <w:rFonts w:hint="eastAsia" w:ascii="仿宋_GB2312" w:hAnsi="Times New Roman" w:eastAsia="仿宋_GB2312" w:cs="Times New Roman"/>
          <w:b w:val="0"/>
          <w:color w:val="auto"/>
          <w:sz w:val="24"/>
          <w:highlight w:val="none"/>
          <w:lang w:eastAsia="zh-CN"/>
        </w:rPr>
        <w:t>的</w:t>
      </w:r>
      <w:r>
        <w:rPr>
          <w:rFonts w:hint="eastAsia" w:ascii="仿宋_GB2312" w:hAnsi="Times New Roman" w:eastAsia="仿宋_GB2312" w:cs="Times New Roman"/>
          <w:b w:val="0"/>
          <w:color w:val="auto"/>
          <w:sz w:val="24"/>
          <w:highlight w:val="none"/>
        </w:rPr>
        <w:t>申请人，请于2023年</w:t>
      </w:r>
      <w:r>
        <w:rPr>
          <w:rFonts w:hint="eastAsia" w:ascii="仿宋_GB2312" w:eastAsia="仿宋_GB2312" w:cs="Times New Roman"/>
          <w:b w:val="0"/>
          <w:color w:val="auto"/>
          <w:sz w:val="24"/>
          <w:highlight w:val="none"/>
          <w:lang w:val="en-US" w:eastAsia="zh-CN"/>
        </w:rPr>
        <w:t>5</w:t>
      </w:r>
      <w:r>
        <w:rPr>
          <w:rFonts w:hint="eastAsia" w:ascii="仿宋_GB2312" w:hAnsi="Times New Roman" w:eastAsia="仿宋_GB2312" w:cs="Times New Roman"/>
          <w:b w:val="0"/>
          <w:color w:val="auto"/>
          <w:sz w:val="24"/>
          <w:highlight w:val="none"/>
        </w:rPr>
        <w:t>月</w:t>
      </w:r>
      <w:r>
        <w:rPr>
          <w:rFonts w:hint="eastAsia" w:ascii="仿宋_GB2312" w:eastAsia="仿宋_GB2312" w:cs="Times New Roman"/>
          <w:b w:val="0"/>
          <w:color w:val="auto"/>
          <w:sz w:val="24"/>
          <w:highlight w:val="none"/>
          <w:lang w:val="en-US" w:eastAsia="zh-CN"/>
        </w:rPr>
        <w:t>30</w:t>
      </w:r>
      <w:r>
        <w:rPr>
          <w:rFonts w:hint="eastAsia" w:ascii="仿宋_GB2312" w:hAnsi="Times New Roman" w:eastAsia="仿宋_GB2312" w:cs="Times New Roman"/>
          <w:b w:val="0"/>
          <w:color w:val="auto"/>
          <w:sz w:val="24"/>
          <w:highlight w:val="none"/>
        </w:rPr>
        <w:t>日开始登陆天府阳光采购服务平台(https://www.tfygcgfw.com/)，</w:t>
      </w:r>
      <w:r>
        <w:rPr>
          <w:rFonts w:hint="eastAsia" w:ascii="仿宋_GB2312" w:hAnsi="Times New Roman" w:eastAsia="仿宋_GB2312" w:cs="Times New Roman"/>
          <w:b w:val="0"/>
          <w:color w:val="auto"/>
          <w:sz w:val="24"/>
          <w:highlight w:val="none"/>
          <w:lang w:eastAsia="zh-CN"/>
        </w:rPr>
        <w:t>完成注册后</w:t>
      </w:r>
      <w:r>
        <w:rPr>
          <w:rFonts w:hint="eastAsia" w:ascii="仿宋_GB2312" w:hAnsi="Times New Roman" w:eastAsia="仿宋_GB2312" w:cs="Times New Roman"/>
          <w:b w:val="0"/>
          <w:color w:val="auto"/>
          <w:sz w:val="24"/>
          <w:highlight w:val="none"/>
        </w:rPr>
        <w:t>下载</w:t>
      </w:r>
      <w:r>
        <w:rPr>
          <w:rFonts w:hint="eastAsia" w:ascii="仿宋_GB2312" w:hAnsi="Times New Roman" w:eastAsia="仿宋_GB2312" w:cs="Times New Roman"/>
          <w:b w:val="0"/>
          <w:color w:val="auto"/>
          <w:sz w:val="24"/>
          <w:highlight w:val="none"/>
          <w:lang w:val="en-US" w:eastAsia="zh-CN"/>
        </w:rPr>
        <w:t>比选文件</w:t>
      </w:r>
      <w:r>
        <w:rPr>
          <w:rFonts w:hint="eastAsia" w:ascii="仿宋_GB2312" w:hAnsi="Times New Roman" w:eastAsia="仿宋_GB2312" w:cs="Times New Roman"/>
          <w:b w:val="0"/>
          <w:color w:val="auto"/>
          <w:sz w:val="24"/>
          <w:highlight w:val="none"/>
          <w:lang w:eastAsia="zh-CN"/>
        </w:rPr>
        <w:t>。</w:t>
      </w:r>
    </w:p>
    <w:p>
      <w:pPr>
        <w:spacing w:line="360" w:lineRule="auto"/>
        <w:ind w:firstLine="480" w:firstLineChars="200"/>
        <w:rPr>
          <w:rFonts w:hint="eastAsia" w:ascii="仿宋_GB2312" w:hAnsi="Times New Roman" w:eastAsia="仿宋_GB2312" w:cs="Times New Roman"/>
          <w:b w:val="0"/>
          <w:color w:val="auto"/>
          <w:sz w:val="24"/>
          <w:highlight w:val="none"/>
        </w:rPr>
      </w:pPr>
      <w:r>
        <w:rPr>
          <w:rFonts w:hint="eastAsia" w:ascii="仿宋_GB2312" w:hAnsi="Times New Roman" w:eastAsia="仿宋_GB2312" w:cs="Times New Roman"/>
          <w:b w:val="0"/>
          <w:color w:val="auto"/>
          <w:sz w:val="24"/>
          <w:highlight w:val="none"/>
          <w:lang w:val="en-US" w:eastAsia="zh-CN"/>
        </w:rPr>
        <w:t>（二）</w:t>
      </w:r>
      <w:r>
        <w:rPr>
          <w:rFonts w:hint="eastAsia" w:ascii="仿宋_GB2312" w:eastAsia="仿宋_GB2312" w:cs="Times New Roman"/>
          <w:b w:val="0"/>
          <w:color w:val="auto"/>
          <w:sz w:val="24"/>
          <w:highlight w:val="none"/>
          <w:lang w:val="en-US" w:eastAsia="zh-CN"/>
        </w:rPr>
        <w:t>比选</w:t>
      </w:r>
      <w:r>
        <w:rPr>
          <w:rFonts w:hint="eastAsia" w:ascii="仿宋_GB2312" w:hAnsi="Times New Roman" w:eastAsia="仿宋_GB2312" w:cs="Times New Roman"/>
          <w:b w:val="0"/>
          <w:color w:val="auto"/>
          <w:sz w:val="24"/>
          <w:highlight w:val="none"/>
        </w:rPr>
        <w:t>人不提供</w:t>
      </w:r>
      <w:r>
        <w:rPr>
          <w:rFonts w:hint="eastAsia" w:ascii="仿宋_GB2312" w:eastAsia="仿宋_GB2312" w:cs="Times New Roman"/>
          <w:b w:val="0"/>
          <w:color w:val="auto"/>
          <w:sz w:val="24"/>
          <w:highlight w:val="none"/>
          <w:lang w:val="en-US" w:eastAsia="zh-CN"/>
        </w:rPr>
        <w:t>比选</w:t>
      </w:r>
      <w:r>
        <w:rPr>
          <w:rFonts w:hint="eastAsia" w:ascii="仿宋_GB2312" w:hAnsi="Times New Roman" w:eastAsia="仿宋_GB2312" w:cs="Times New Roman"/>
          <w:b w:val="0"/>
          <w:color w:val="auto"/>
          <w:sz w:val="24"/>
          <w:highlight w:val="none"/>
        </w:rPr>
        <w:t>文件获取的其他方式。</w:t>
      </w:r>
    </w:p>
    <w:p>
      <w:pPr>
        <w:spacing w:line="360" w:lineRule="auto"/>
        <w:ind w:firstLine="482" w:firstLineChars="200"/>
        <w:outlineLvl w:val="1"/>
        <w:rPr>
          <w:rFonts w:hint="eastAsia" w:ascii="宋体" w:hAnsi="宋体" w:eastAsia="宋体" w:cs="宋体"/>
          <w:b/>
          <w:color w:val="000000"/>
          <w:sz w:val="24"/>
          <w:szCs w:val="24"/>
          <w:highlight w:val="none"/>
          <w:lang w:val="en-US" w:eastAsia="zh-CN"/>
        </w:rPr>
      </w:pPr>
      <w:bookmarkStart w:id="13" w:name="_Toc18263"/>
      <w:bookmarkStart w:id="14" w:name="_Toc1461"/>
      <w:r>
        <w:rPr>
          <w:rFonts w:hint="eastAsia" w:ascii="宋体" w:hAnsi="宋体" w:eastAsia="宋体" w:cs="宋体"/>
          <w:b/>
          <w:color w:val="000000"/>
          <w:sz w:val="24"/>
          <w:szCs w:val="24"/>
          <w:highlight w:val="none"/>
          <w:lang w:val="en-US" w:eastAsia="zh-CN"/>
        </w:rPr>
        <w:t>四.发布公告的媒</w:t>
      </w:r>
      <w:bookmarkEnd w:id="13"/>
      <w:bookmarkEnd w:id="14"/>
      <w:r>
        <w:rPr>
          <w:rFonts w:hint="eastAsia" w:ascii="宋体" w:hAnsi="宋体" w:eastAsia="宋体" w:cs="宋体"/>
          <w:b/>
          <w:color w:val="000000"/>
          <w:sz w:val="24"/>
          <w:szCs w:val="24"/>
          <w:highlight w:val="none"/>
          <w:lang w:val="en-US" w:eastAsia="zh-CN"/>
        </w:rPr>
        <w:t>介</w:t>
      </w:r>
    </w:p>
    <w:bookmarkEnd w:id="9"/>
    <w:bookmarkEnd w:id="10"/>
    <w:bookmarkEnd w:id="11"/>
    <w:bookmarkEnd w:id="12"/>
    <w:p>
      <w:pPr>
        <w:spacing w:line="360" w:lineRule="auto"/>
        <w:ind w:firstLine="480" w:firstLineChars="200"/>
        <w:rPr>
          <w:rFonts w:hint="eastAsia" w:ascii="仿宋_GB2312" w:hAnsi="Times New Roman" w:eastAsia="仿宋_GB2312" w:cs="Times New Roman"/>
          <w:b w:val="0"/>
          <w:color w:val="auto"/>
          <w:sz w:val="24"/>
          <w:highlight w:val="none"/>
        </w:rPr>
      </w:pPr>
      <w:r>
        <w:rPr>
          <w:rFonts w:hint="eastAsia" w:ascii="仿宋_GB2312" w:hAnsi="Times New Roman" w:eastAsia="仿宋_GB2312" w:cs="Times New Roman"/>
          <w:b w:val="0"/>
          <w:color w:val="auto"/>
          <w:sz w:val="24"/>
          <w:highlight w:val="none"/>
        </w:rPr>
        <w:t>本次比选公告在</w:t>
      </w:r>
      <w:r>
        <w:rPr>
          <w:rFonts w:hint="eastAsia" w:ascii="仿宋_GB2312" w:hAnsi="Times New Roman" w:eastAsia="仿宋_GB2312" w:cs="Times New Roman"/>
          <w:b w:val="0"/>
          <w:color w:val="auto"/>
          <w:sz w:val="24"/>
          <w:highlight w:val="none"/>
          <w:lang w:eastAsia="zh-CN"/>
        </w:rPr>
        <w:t>川投</w:t>
      </w:r>
      <w:r>
        <w:rPr>
          <w:rFonts w:hint="eastAsia" w:ascii="仿宋_GB2312" w:hAnsi="Times New Roman" w:eastAsia="仿宋_GB2312" w:cs="Times New Roman"/>
          <w:b w:val="0"/>
          <w:color w:val="auto"/>
          <w:sz w:val="24"/>
          <w:highlight w:val="none"/>
          <w:lang w:val="en-US" w:eastAsia="zh-CN"/>
        </w:rPr>
        <w:t>集团官</w:t>
      </w:r>
      <w:r>
        <w:rPr>
          <w:rFonts w:hint="eastAsia" w:ascii="仿宋_GB2312" w:hAnsi="Times New Roman" w:eastAsia="仿宋_GB2312" w:cs="Times New Roman"/>
          <w:b w:val="0"/>
          <w:color w:val="auto"/>
          <w:sz w:val="24"/>
          <w:highlight w:val="none"/>
        </w:rPr>
        <w:t>网（网址：</w:t>
      </w:r>
      <w:r>
        <w:rPr>
          <w:rFonts w:hint="eastAsia" w:ascii="仿宋_GB2312" w:hAnsi="Times New Roman" w:eastAsia="仿宋_GB2312" w:cs="Times New Roman"/>
          <w:b w:val="0"/>
          <w:color w:val="auto"/>
          <w:sz w:val="24"/>
          <w:highlight w:val="none"/>
        </w:rPr>
        <w:fldChar w:fldCharType="begin"/>
      </w:r>
      <w:r>
        <w:rPr>
          <w:rFonts w:hint="eastAsia" w:ascii="仿宋_GB2312" w:hAnsi="Times New Roman" w:eastAsia="仿宋_GB2312" w:cs="Times New Roman"/>
          <w:b w:val="0"/>
          <w:color w:val="auto"/>
          <w:sz w:val="24"/>
          <w:highlight w:val="none"/>
        </w:rPr>
        <w:instrText xml:space="preserve"> HYPERLINK "http://www.invest.com." </w:instrText>
      </w:r>
      <w:r>
        <w:rPr>
          <w:rFonts w:hint="eastAsia" w:ascii="仿宋_GB2312" w:hAnsi="Times New Roman" w:eastAsia="仿宋_GB2312" w:cs="Times New Roman"/>
          <w:b w:val="0"/>
          <w:color w:val="auto"/>
          <w:sz w:val="24"/>
          <w:highlight w:val="none"/>
        </w:rPr>
        <w:fldChar w:fldCharType="separate"/>
      </w:r>
      <w:r>
        <w:rPr>
          <w:rFonts w:hint="eastAsia" w:ascii="仿宋_GB2312" w:hAnsi="Times New Roman" w:eastAsia="仿宋_GB2312" w:cs="Times New Roman"/>
          <w:b w:val="0"/>
          <w:color w:val="auto"/>
          <w:sz w:val="24"/>
          <w:highlight w:val="none"/>
        </w:rPr>
        <w:t>http://www.invest.com.</w:t>
      </w:r>
      <w:r>
        <w:rPr>
          <w:rFonts w:hint="eastAsia" w:ascii="仿宋_GB2312" w:hAnsi="Times New Roman" w:eastAsia="仿宋_GB2312" w:cs="Times New Roman"/>
          <w:b w:val="0"/>
          <w:color w:val="auto"/>
          <w:sz w:val="24"/>
          <w:highlight w:val="none"/>
        </w:rPr>
        <w:fldChar w:fldCharType="end"/>
      </w:r>
      <w:r>
        <w:rPr>
          <w:rFonts w:hint="eastAsia" w:ascii="仿宋_GB2312" w:hAnsi="Times New Roman" w:eastAsia="仿宋_GB2312" w:cs="Times New Roman"/>
          <w:b w:val="0"/>
          <w:color w:val="auto"/>
          <w:sz w:val="24"/>
          <w:highlight w:val="none"/>
        </w:rPr>
        <w:t>cn/）</w:t>
      </w:r>
      <w:r>
        <w:rPr>
          <w:rFonts w:hint="eastAsia" w:ascii="仿宋_GB2312" w:hAnsi="Times New Roman" w:eastAsia="仿宋_GB2312" w:cs="Times New Roman"/>
          <w:b w:val="0"/>
          <w:color w:val="auto"/>
          <w:sz w:val="24"/>
          <w:highlight w:val="none"/>
          <w:lang w:val="en-US" w:eastAsia="zh-CN"/>
        </w:rPr>
        <w:t>、</w:t>
      </w:r>
      <w:r>
        <w:rPr>
          <w:rFonts w:hint="eastAsia" w:ascii="仿宋_GB2312" w:hAnsi="Times New Roman" w:eastAsia="仿宋_GB2312" w:cs="Times New Roman"/>
          <w:b w:val="0"/>
          <w:color w:val="auto"/>
          <w:sz w:val="24"/>
          <w:highlight w:val="none"/>
        </w:rPr>
        <w:t>川投燃电集团官网（https://ctrd.invest.com.cn/）</w:t>
      </w:r>
      <w:r>
        <w:rPr>
          <w:rFonts w:hint="eastAsia" w:ascii="仿宋_GB2312" w:hAnsi="Times New Roman" w:eastAsia="仿宋_GB2312" w:cs="Times New Roman"/>
          <w:b w:val="0"/>
          <w:color w:val="auto"/>
          <w:sz w:val="24"/>
          <w:highlight w:val="none"/>
          <w:lang w:eastAsia="zh-CN"/>
        </w:rPr>
        <w:t>、</w:t>
      </w:r>
      <w:r>
        <w:rPr>
          <w:rFonts w:hint="eastAsia" w:ascii="仿宋_GB2312" w:hAnsi="Times New Roman" w:eastAsia="仿宋_GB2312" w:cs="Times New Roman"/>
          <w:b w:val="0"/>
          <w:color w:val="auto"/>
          <w:sz w:val="24"/>
          <w:highlight w:val="none"/>
          <w:lang w:val="en-US" w:eastAsia="zh-CN"/>
        </w:rPr>
        <w:t>达州气电官网（https://ctqd.invest.com.cn/）和天府阳光采购服务平台（http://scig.tfygcgfw.com/）</w:t>
      </w:r>
      <w:r>
        <w:rPr>
          <w:rFonts w:hint="eastAsia" w:ascii="仿宋_GB2312" w:hAnsi="Times New Roman" w:eastAsia="仿宋_GB2312" w:cs="Times New Roman"/>
          <w:b w:val="0"/>
          <w:color w:val="auto"/>
          <w:sz w:val="24"/>
          <w:highlight w:val="none"/>
        </w:rPr>
        <w:t>上发布。</w:t>
      </w:r>
    </w:p>
    <w:p>
      <w:pPr>
        <w:spacing w:line="360" w:lineRule="auto"/>
        <w:ind w:firstLine="482" w:firstLineChars="200"/>
        <w:outlineLvl w:val="1"/>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lang w:val="en-US" w:eastAsia="zh-CN"/>
        </w:rPr>
        <w:t>五、递交比选申请文件截止时间及地点</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rPr>
        <w:t>比选申请文件的递交截止时间为</w:t>
      </w:r>
      <w:r>
        <w:rPr>
          <w:rFonts w:hint="eastAsia" w:ascii="仿宋_GB2312" w:eastAsia="仿宋_GB2312"/>
          <w:color w:val="auto"/>
          <w:sz w:val="24"/>
          <w:highlight w:val="none"/>
        </w:rPr>
        <w:t>20</w:t>
      </w:r>
      <w:r>
        <w:rPr>
          <w:rFonts w:hint="eastAsia" w:ascii="仿宋_GB2312" w:eastAsia="仿宋_GB2312"/>
          <w:color w:val="auto"/>
          <w:sz w:val="24"/>
          <w:highlight w:val="none"/>
          <w:lang w:val="en-US" w:eastAsia="zh-CN"/>
        </w:rPr>
        <w:t>23</w:t>
      </w:r>
      <w:r>
        <w:rPr>
          <w:rFonts w:hint="eastAsia" w:ascii="仿宋_GB2312" w:eastAsia="仿宋_GB2312"/>
          <w:color w:val="auto"/>
          <w:sz w:val="24"/>
          <w:highlight w:val="none"/>
        </w:rPr>
        <w:t>年</w:t>
      </w:r>
      <w:r>
        <w:rPr>
          <w:rFonts w:hint="eastAsia" w:ascii="仿宋_GB2312" w:eastAsia="仿宋_GB2312"/>
          <w:color w:val="auto"/>
          <w:sz w:val="24"/>
          <w:highlight w:val="none"/>
          <w:u w:val="single"/>
          <w:lang w:val="en-US" w:eastAsia="zh-CN"/>
        </w:rPr>
        <w:t>6</w:t>
      </w:r>
      <w:r>
        <w:rPr>
          <w:rFonts w:hint="eastAsia" w:ascii="仿宋_GB2312" w:eastAsia="仿宋_GB2312"/>
          <w:color w:val="auto"/>
          <w:sz w:val="24"/>
          <w:highlight w:val="none"/>
        </w:rPr>
        <w:t>月</w:t>
      </w:r>
      <w:r>
        <w:rPr>
          <w:rFonts w:hint="eastAsia" w:ascii="仿宋_GB2312" w:eastAsia="仿宋_GB2312"/>
          <w:color w:val="auto"/>
          <w:sz w:val="24"/>
          <w:highlight w:val="none"/>
          <w:u w:val="single"/>
          <w:lang w:val="en-US" w:eastAsia="zh-CN"/>
        </w:rPr>
        <w:t>7</w:t>
      </w:r>
      <w:r>
        <w:rPr>
          <w:rFonts w:hint="eastAsia" w:ascii="仿宋_GB2312" w:eastAsia="仿宋_GB2312"/>
          <w:color w:val="auto"/>
          <w:sz w:val="24"/>
          <w:highlight w:val="none"/>
        </w:rPr>
        <w:t>日上午</w:t>
      </w:r>
      <w:r>
        <w:rPr>
          <w:rFonts w:hint="eastAsia" w:ascii="仿宋_GB2312" w:eastAsia="仿宋_GB2312"/>
          <w:color w:val="auto"/>
          <w:sz w:val="24"/>
          <w:highlight w:val="none"/>
          <w:lang w:val="en-US" w:eastAsia="zh-CN"/>
        </w:rPr>
        <w:t>10时0</w:t>
      </w:r>
      <w:r>
        <w:rPr>
          <w:rFonts w:hint="eastAsia" w:ascii="仿宋_GB2312" w:eastAsia="仿宋_GB2312"/>
          <w:color w:val="auto"/>
          <w:sz w:val="24"/>
          <w:highlight w:val="none"/>
        </w:rPr>
        <w:t xml:space="preserve">0 </w:t>
      </w:r>
      <w:r>
        <w:rPr>
          <w:rFonts w:hint="eastAsia" w:ascii="仿宋_GB2312" w:eastAsia="仿宋_GB2312"/>
          <w:color w:val="auto"/>
          <w:sz w:val="24"/>
          <w:highlight w:val="none"/>
          <w:lang w:val="en-US" w:eastAsia="zh-CN"/>
        </w:rPr>
        <w:t>分</w:t>
      </w:r>
      <w:r>
        <w:rPr>
          <w:rFonts w:hint="eastAsia" w:ascii="仿宋_GB2312" w:eastAsia="仿宋_GB2312"/>
          <w:color w:val="auto"/>
          <w:sz w:val="24"/>
          <w:highlight w:val="none"/>
        </w:rPr>
        <w:t>，比选申请文件必须在此规定时间之前专人送达四川省</w:t>
      </w:r>
      <w:r>
        <w:rPr>
          <w:rFonts w:hint="eastAsia" w:ascii="仿宋_GB2312" w:eastAsia="仿宋_GB2312"/>
          <w:color w:val="auto"/>
          <w:sz w:val="24"/>
          <w:highlight w:val="none"/>
          <w:lang w:val="en-US" w:eastAsia="zh-CN"/>
        </w:rPr>
        <w:t>达州市高新区斌郎街道桥坝社区7组达州气电办公楼305室</w:t>
      </w:r>
      <w:r>
        <w:rPr>
          <w:rFonts w:hint="eastAsia" w:ascii="仿宋_GB2312" w:eastAsia="仿宋_GB2312"/>
          <w:color w:val="auto"/>
          <w:sz w:val="24"/>
          <w:highlight w:val="none"/>
        </w:rPr>
        <w:t>。比选申请文件正本一套，副本</w:t>
      </w:r>
      <w:r>
        <w:rPr>
          <w:rFonts w:hint="eastAsia" w:ascii="仿宋_GB2312" w:eastAsia="仿宋_GB2312"/>
          <w:color w:val="auto"/>
          <w:sz w:val="24"/>
          <w:highlight w:val="none"/>
          <w:lang w:val="en-US" w:eastAsia="zh-CN"/>
        </w:rPr>
        <w:t>一</w:t>
      </w:r>
      <w:r>
        <w:rPr>
          <w:rFonts w:hint="eastAsia" w:ascii="仿宋_GB2312" w:eastAsia="仿宋_GB2312"/>
          <w:color w:val="auto"/>
          <w:sz w:val="24"/>
          <w:highlight w:val="none"/>
        </w:rPr>
        <w:t>套，电子文档（限U盘）1份。迟到的比选申请文件、未按照要求密封的比选申请文件，比选人予以拒收。</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比选人定于北京时间20</w:t>
      </w:r>
      <w:r>
        <w:rPr>
          <w:rFonts w:hint="eastAsia" w:ascii="仿宋_GB2312" w:eastAsia="仿宋_GB2312"/>
          <w:color w:val="auto"/>
          <w:sz w:val="24"/>
          <w:highlight w:val="none"/>
          <w:lang w:val="en-US" w:eastAsia="zh-CN"/>
        </w:rPr>
        <w:t>23</w:t>
      </w:r>
      <w:r>
        <w:rPr>
          <w:rFonts w:hint="eastAsia" w:ascii="仿宋_GB2312" w:eastAsia="仿宋_GB2312"/>
          <w:color w:val="auto"/>
          <w:sz w:val="24"/>
          <w:highlight w:val="none"/>
        </w:rPr>
        <w:t>年</w:t>
      </w:r>
      <w:r>
        <w:rPr>
          <w:rFonts w:hint="eastAsia" w:ascii="仿宋_GB2312" w:eastAsia="仿宋_GB2312"/>
          <w:color w:val="auto"/>
          <w:sz w:val="24"/>
          <w:highlight w:val="none"/>
          <w:u w:val="single"/>
          <w:lang w:val="en-US" w:eastAsia="zh-CN"/>
        </w:rPr>
        <w:t>6</w:t>
      </w:r>
      <w:r>
        <w:rPr>
          <w:rFonts w:hint="eastAsia" w:ascii="仿宋_GB2312" w:eastAsia="仿宋_GB2312"/>
          <w:color w:val="auto"/>
          <w:sz w:val="24"/>
          <w:highlight w:val="none"/>
        </w:rPr>
        <w:t>月</w:t>
      </w:r>
      <w:r>
        <w:rPr>
          <w:rFonts w:hint="eastAsia" w:ascii="仿宋_GB2312" w:eastAsia="仿宋_GB2312"/>
          <w:color w:val="auto"/>
          <w:sz w:val="24"/>
          <w:highlight w:val="none"/>
          <w:u w:val="single"/>
          <w:lang w:val="en-US" w:eastAsia="zh-CN"/>
        </w:rPr>
        <w:t>7</w:t>
      </w:r>
      <w:r>
        <w:rPr>
          <w:rFonts w:hint="eastAsia" w:ascii="仿宋_GB2312" w:eastAsia="仿宋_GB2312"/>
          <w:color w:val="auto"/>
          <w:sz w:val="24"/>
          <w:highlight w:val="none"/>
        </w:rPr>
        <w:t>日上午</w:t>
      </w:r>
      <w:r>
        <w:rPr>
          <w:rFonts w:hint="eastAsia" w:ascii="仿宋_GB2312" w:eastAsia="仿宋_GB2312"/>
          <w:color w:val="auto"/>
          <w:sz w:val="24"/>
          <w:highlight w:val="none"/>
          <w:lang w:val="en-US" w:eastAsia="zh-CN"/>
        </w:rPr>
        <w:t>10时0</w:t>
      </w:r>
      <w:r>
        <w:rPr>
          <w:rFonts w:hint="eastAsia" w:ascii="仿宋_GB2312" w:eastAsia="仿宋_GB2312"/>
          <w:color w:val="auto"/>
          <w:sz w:val="24"/>
          <w:highlight w:val="none"/>
        </w:rPr>
        <w:t>0</w:t>
      </w:r>
      <w:r>
        <w:rPr>
          <w:rFonts w:hint="eastAsia" w:ascii="仿宋_GB2312" w:eastAsia="仿宋_GB2312"/>
          <w:color w:val="auto"/>
          <w:sz w:val="24"/>
          <w:highlight w:val="none"/>
          <w:lang w:val="en-US" w:eastAsia="zh-CN"/>
        </w:rPr>
        <w:t>分</w:t>
      </w:r>
      <w:r>
        <w:rPr>
          <w:rFonts w:hint="eastAsia" w:ascii="仿宋_GB2312" w:eastAsia="仿宋_GB2312"/>
          <w:color w:val="auto"/>
          <w:sz w:val="24"/>
          <w:highlight w:val="none"/>
        </w:rPr>
        <w:t>在四川省</w:t>
      </w:r>
      <w:r>
        <w:rPr>
          <w:rFonts w:hint="eastAsia" w:ascii="仿宋_GB2312" w:eastAsia="仿宋_GB2312"/>
          <w:color w:val="auto"/>
          <w:sz w:val="24"/>
          <w:highlight w:val="none"/>
          <w:lang w:val="en-US" w:eastAsia="zh-CN"/>
        </w:rPr>
        <w:t>达州市高新区斌郎街道桥坝社区7组达州气电办公楼4楼</w:t>
      </w:r>
      <w:r>
        <w:rPr>
          <w:rFonts w:hint="eastAsia" w:ascii="仿宋_GB2312" w:eastAsia="仿宋_GB2312"/>
          <w:color w:val="auto"/>
          <w:sz w:val="24"/>
          <w:highlight w:val="none"/>
        </w:rPr>
        <w:t>会议室举行比选申请文件开启仪式，比选人邀请已递交比选申请文件的中介机构到现场监督，中介机构法定代表人或授权代理人应当对本单位递交的比选申请文件开启情况签字确认。</w:t>
      </w:r>
    </w:p>
    <w:p>
      <w:pPr>
        <w:spacing w:line="360" w:lineRule="auto"/>
        <w:ind w:firstLine="482" w:firstLineChars="200"/>
        <w:outlineLvl w:val="1"/>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lang w:val="en-US" w:eastAsia="zh-CN"/>
        </w:rPr>
        <w:t>六、联系方式</w:t>
      </w:r>
    </w:p>
    <w:p>
      <w:pPr>
        <w:spacing w:line="360" w:lineRule="auto"/>
        <w:ind w:firstLine="480" w:firstLineChars="200"/>
        <w:rPr>
          <w:rFonts w:hint="eastAsia" w:ascii="仿宋_GB2312" w:eastAsia="仿宋_GB2312"/>
          <w:color w:val="auto"/>
          <w:sz w:val="24"/>
          <w:highlight w:val="none"/>
          <w:lang w:eastAsia="zh-CN"/>
        </w:rPr>
      </w:pPr>
      <w:r>
        <w:rPr>
          <w:rFonts w:hint="eastAsia" w:ascii="仿宋_GB2312" w:eastAsia="仿宋_GB2312"/>
          <w:color w:val="auto"/>
          <w:sz w:val="24"/>
          <w:highlight w:val="none"/>
        </w:rPr>
        <w:t xml:space="preserve">比 选 人： </w:t>
      </w:r>
      <w:r>
        <w:rPr>
          <w:rFonts w:hint="eastAsia" w:ascii="仿宋_GB2312" w:eastAsia="仿宋_GB2312"/>
          <w:color w:val="auto"/>
          <w:sz w:val="24"/>
          <w:highlight w:val="none"/>
          <w:lang w:eastAsia="zh-CN"/>
        </w:rPr>
        <w:t>川投（达州）燃气发电有限公司</w:t>
      </w:r>
    </w:p>
    <w:p>
      <w:pPr>
        <w:spacing w:line="360" w:lineRule="auto"/>
        <w:ind w:firstLine="480" w:firstLineChars="200"/>
        <w:rPr>
          <w:rFonts w:hint="eastAsia" w:ascii="仿宋_GB2312" w:eastAsia="仿宋_GB2312"/>
          <w:color w:val="auto"/>
          <w:sz w:val="24"/>
          <w:highlight w:val="none"/>
          <w:lang w:eastAsia="zh-CN"/>
        </w:rPr>
      </w:pPr>
      <w:r>
        <w:rPr>
          <w:rFonts w:hint="eastAsia" w:ascii="仿宋_GB2312" w:eastAsia="仿宋_GB2312"/>
          <w:color w:val="auto"/>
          <w:sz w:val="24"/>
          <w:highlight w:val="none"/>
        </w:rPr>
        <w:t xml:space="preserve">地    址： </w:t>
      </w:r>
      <w:r>
        <w:rPr>
          <w:rFonts w:hint="eastAsia" w:ascii="仿宋_GB2312" w:eastAsia="仿宋_GB2312"/>
          <w:color w:val="auto"/>
          <w:sz w:val="24"/>
          <w:highlight w:val="none"/>
          <w:lang w:eastAsia="zh-CN"/>
        </w:rPr>
        <w:t>四川省达州市高新区斌郎街道桥坝社区7组达州气电办公楼</w:t>
      </w: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lang w:eastAsia="zh-CN"/>
        </w:rPr>
        <w:t>0</w:t>
      </w:r>
      <w:r>
        <w:rPr>
          <w:rFonts w:hint="eastAsia" w:ascii="仿宋_GB2312" w:eastAsia="仿宋_GB2312"/>
          <w:color w:val="auto"/>
          <w:sz w:val="24"/>
          <w:highlight w:val="none"/>
          <w:lang w:val="en-US" w:eastAsia="zh-CN"/>
        </w:rPr>
        <w:t>5</w:t>
      </w:r>
      <w:r>
        <w:rPr>
          <w:rFonts w:hint="eastAsia" w:ascii="仿宋_GB2312" w:eastAsia="仿宋_GB2312"/>
          <w:color w:val="auto"/>
          <w:sz w:val="24"/>
          <w:highlight w:val="none"/>
          <w:lang w:eastAsia="zh-CN"/>
        </w:rPr>
        <w:t>室</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 xml:space="preserve">邮政编码： 610015             </w:t>
      </w:r>
    </w:p>
    <w:p>
      <w:pPr>
        <w:spacing w:line="360" w:lineRule="auto"/>
        <w:ind w:firstLine="480" w:firstLineChars="200"/>
        <w:rPr>
          <w:rFonts w:hint="default" w:ascii="仿宋_GB2312" w:eastAsia="仿宋_GB2312"/>
          <w:color w:val="auto"/>
          <w:sz w:val="24"/>
          <w:highlight w:val="none"/>
          <w:lang w:val="en-US" w:eastAsia="zh-CN"/>
        </w:rPr>
      </w:pPr>
      <w:r>
        <w:rPr>
          <w:rFonts w:hint="eastAsia" w:ascii="仿宋_GB2312" w:eastAsia="仿宋_GB2312"/>
          <w:color w:val="auto"/>
          <w:sz w:val="24"/>
          <w:highlight w:val="none"/>
        </w:rPr>
        <w:t xml:space="preserve">联 系 人： </w:t>
      </w:r>
      <w:r>
        <w:rPr>
          <w:rFonts w:hint="eastAsia" w:ascii="仿宋_GB2312" w:eastAsia="仿宋_GB2312"/>
          <w:color w:val="auto"/>
          <w:sz w:val="24"/>
          <w:highlight w:val="none"/>
          <w:lang w:val="en-US" w:eastAsia="zh-CN"/>
        </w:rPr>
        <w:t>何 先 生</w:t>
      </w:r>
    </w:p>
    <w:p>
      <w:pPr>
        <w:spacing w:line="360" w:lineRule="auto"/>
        <w:ind w:firstLine="480" w:firstLineChars="200"/>
        <w:rPr>
          <w:rFonts w:hint="default" w:ascii="仿宋_GB2312" w:eastAsia="仿宋_GB2312"/>
          <w:sz w:val="24"/>
          <w:highlight w:val="none"/>
          <w:lang w:val="en-US" w:eastAsia="zh-CN"/>
        </w:rPr>
      </w:pPr>
      <w:r>
        <w:rPr>
          <w:rFonts w:hint="eastAsia" w:ascii="仿宋_GB2312" w:eastAsia="仿宋_GB2312"/>
          <w:color w:val="auto"/>
          <w:sz w:val="24"/>
          <w:highlight w:val="none"/>
        </w:rPr>
        <w:t xml:space="preserve">联系电话： </w:t>
      </w:r>
      <w:r>
        <w:rPr>
          <w:rFonts w:hint="eastAsia" w:ascii="仿宋_GB2312" w:eastAsia="仿宋_GB2312"/>
          <w:sz w:val="24"/>
          <w:highlight w:val="none"/>
          <w:lang w:val="en-US" w:eastAsia="zh-CN"/>
        </w:rPr>
        <w:t>0818-3331169</w:t>
      </w:r>
    </w:p>
    <w:p>
      <w:pPr>
        <w:pStyle w:val="2"/>
      </w:pPr>
      <w:bookmarkStart w:id="15" w:name="_GoBack"/>
      <w:bookmarkEnd w:id="15"/>
    </w:p>
    <w:bookmarkEnd w:id="5"/>
    <w:bookmarkEnd w:id="6"/>
    <w:bookmarkEnd w:id="7"/>
    <w:bookmarkEnd w:id="8"/>
    <w:p>
      <w:pPr>
        <w:jc w:val="center"/>
        <w:rPr>
          <w:lang w:val="en-US" w:eastAsia="zh-CN"/>
        </w:rPr>
      </w:pPr>
    </w:p>
    <w:sectPr>
      <w:footerReference r:id="rId4" w:type="first"/>
      <w:footerReference r:id="rId3" w:type="default"/>
      <w:pgSz w:w="11906" w:h="16838"/>
      <w:pgMar w:top="1304" w:right="1196" w:bottom="1304" w:left="1797"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instrText xml:space="preserve"> PAGE   \* MERGEFORMAT </w:instrText>
                          </w:r>
                          <w:r>
                            <w:fldChar w:fldCharType="separate"/>
                          </w:r>
                          <w:r>
                            <w:rPr>
                              <w:lang w:val="zh-CN"/>
                            </w:rPr>
                            <w:t>28</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28</w:t>
                    </w:r>
                    <w:r>
                      <w:rPr>
                        <w:lang w:val="zh-CN"/>
                      </w:rPr>
                      <w:fldChar w:fldCharType="end"/>
                    </w:r>
                  </w:p>
                </w:txbxContent>
              </v:textbox>
            </v:shape>
          </w:pict>
        </mc:Fallback>
      </mc:AlternateContent>
    </w:r>
  </w:p>
  <w:p>
    <w:pPr>
      <w:pStyle w:val="15"/>
      <w:ind w:right="360"/>
      <w:rPr>
        <w:rStyle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4235D4"/>
    <w:multiLevelType w:val="multilevel"/>
    <w:tmpl w:val="274235D4"/>
    <w:lvl w:ilvl="0" w:tentative="0">
      <w:start w:val="1"/>
      <w:numFmt w:val="chineseCountingThousand"/>
      <w:pStyle w:val="4"/>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3033850"/>
    <w:multiLevelType w:val="multilevel"/>
    <w:tmpl w:val="63033850"/>
    <w:lvl w:ilvl="0" w:tentative="0">
      <w:start w:val="1"/>
      <w:numFmt w:val="chineseCountingThousand"/>
      <w:pStyle w:val="3"/>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0"/>
    <w:rsid w:val="00000451"/>
    <w:rsid w:val="0000064F"/>
    <w:rsid w:val="000043FA"/>
    <w:rsid w:val="0000441E"/>
    <w:rsid w:val="00005413"/>
    <w:rsid w:val="00006998"/>
    <w:rsid w:val="00007B30"/>
    <w:rsid w:val="0001241F"/>
    <w:rsid w:val="00012A18"/>
    <w:rsid w:val="00012B33"/>
    <w:rsid w:val="00017290"/>
    <w:rsid w:val="00023E1C"/>
    <w:rsid w:val="00032074"/>
    <w:rsid w:val="000371FC"/>
    <w:rsid w:val="00045E48"/>
    <w:rsid w:val="00054ADA"/>
    <w:rsid w:val="00055362"/>
    <w:rsid w:val="000660C8"/>
    <w:rsid w:val="000670DF"/>
    <w:rsid w:val="00075EA8"/>
    <w:rsid w:val="00080741"/>
    <w:rsid w:val="0008405D"/>
    <w:rsid w:val="00084624"/>
    <w:rsid w:val="00091EE1"/>
    <w:rsid w:val="000926B9"/>
    <w:rsid w:val="000957D7"/>
    <w:rsid w:val="000A2D43"/>
    <w:rsid w:val="000A76BD"/>
    <w:rsid w:val="000A7B73"/>
    <w:rsid w:val="000B3122"/>
    <w:rsid w:val="000B65C2"/>
    <w:rsid w:val="000C0BA4"/>
    <w:rsid w:val="000C14E5"/>
    <w:rsid w:val="000C55D0"/>
    <w:rsid w:val="000D03E1"/>
    <w:rsid w:val="000D26BF"/>
    <w:rsid w:val="000D3D4E"/>
    <w:rsid w:val="000E6028"/>
    <w:rsid w:val="001046BB"/>
    <w:rsid w:val="00110843"/>
    <w:rsid w:val="00111BD1"/>
    <w:rsid w:val="00114992"/>
    <w:rsid w:val="00114E7F"/>
    <w:rsid w:val="00116FF3"/>
    <w:rsid w:val="0012000A"/>
    <w:rsid w:val="0012155A"/>
    <w:rsid w:val="001238C7"/>
    <w:rsid w:val="00127B4B"/>
    <w:rsid w:val="001344C7"/>
    <w:rsid w:val="00137985"/>
    <w:rsid w:val="0014128D"/>
    <w:rsid w:val="00144168"/>
    <w:rsid w:val="00151B4F"/>
    <w:rsid w:val="0015352A"/>
    <w:rsid w:val="00156D31"/>
    <w:rsid w:val="00157768"/>
    <w:rsid w:val="00161962"/>
    <w:rsid w:val="00162F11"/>
    <w:rsid w:val="0016590B"/>
    <w:rsid w:val="00166254"/>
    <w:rsid w:val="001675AB"/>
    <w:rsid w:val="0017270A"/>
    <w:rsid w:val="001740E3"/>
    <w:rsid w:val="00174F46"/>
    <w:rsid w:val="00177AD5"/>
    <w:rsid w:val="00181C24"/>
    <w:rsid w:val="00187B3D"/>
    <w:rsid w:val="00190F0E"/>
    <w:rsid w:val="00192258"/>
    <w:rsid w:val="00195E04"/>
    <w:rsid w:val="001A1546"/>
    <w:rsid w:val="001B1E4D"/>
    <w:rsid w:val="001C3B8C"/>
    <w:rsid w:val="001C4552"/>
    <w:rsid w:val="001C4C2A"/>
    <w:rsid w:val="001C52D8"/>
    <w:rsid w:val="001D08A1"/>
    <w:rsid w:val="001D4E37"/>
    <w:rsid w:val="001D550D"/>
    <w:rsid w:val="001D69A9"/>
    <w:rsid w:val="001D69CD"/>
    <w:rsid w:val="001E069B"/>
    <w:rsid w:val="001E2BB2"/>
    <w:rsid w:val="001E340F"/>
    <w:rsid w:val="001E48C5"/>
    <w:rsid w:val="001E58B5"/>
    <w:rsid w:val="001E6E32"/>
    <w:rsid w:val="001F08ED"/>
    <w:rsid w:val="001F194B"/>
    <w:rsid w:val="001F6574"/>
    <w:rsid w:val="001F7102"/>
    <w:rsid w:val="0020452B"/>
    <w:rsid w:val="002063C4"/>
    <w:rsid w:val="00207548"/>
    <w:rsid w:val="00207819"/>
    <w:rsid w:val="002112B9"/>
    <w:rsid w:val="002146C0"/>
    <w:rsid w:val="00214BAA"/>
    <w:rsid w:val="00217409"/>
    <w:rsid w:val="00224641"/>
    <w:rsid w:val="002369C4"/>
    <w:rsid w:val="002408A6"/>
    <w:rsid w:val="00241AD5"/>
    <w:rsid w:val="002463CC"/>
    <w:rsid w:val="00253DA9"/>
    <w:rsid w:val="0025725E"/>
    <w:rsid w:val="002576AC"/>
    <w:rsid w:val="00257EC5"/>
    <w:rsid w:val="00261DEF"/>
    <w:rsid w:val="0026390C"/>
    <w:rsid w:val="00280D3E"/>
    <w:rsid w:val="00284F2A"/>
    <w:rsid w:val="00287781"/>
    <w:rsid w:val="002878BE"/>
    <w:rsid w:val="00287FCE"/>
    <w:rsid w:val="002901BA"/>
    <w:rsid w:val="00293777"/>
    <w:rsid w:val="00294B05"/>
    <w:rsid w:val="0029587F"/>
    <w:rsid w:val="002A1201"/>
    <w:rsid w:val="002A1A10"/>
    <w:rsid w:val="002A486F"/>
    <w:rsid w:val="002A5092"/>
    <w:rsid w:val="002A5137"/>
    <w:rsid w:val="002A7925"/>
    <w:rsid w:val="002B4040"/>
    <w:rsid w:val="002B59FF"/>
    <w:rsid w:val="002B6E7F"/>
    <w:rsid w:val="002C21C4"/>
    <w:rsid w:val="002C57EF"/>
    <w:rsid w:val="002D3E2F"/>
    <w:rsid w:val="002D630D"/>
    <w:rsid w:val="002E079F"/>
    <w:rsid w:val="002E1407"/>
    <w:rsid w:val="002F2CAE"/>
    <w:rsid w:val="002F47B1"/>
    <w:rsid w:val="002F71E4"/>
    <w:rsid w:val="00311398"/>
    <w:rsid w:val="003116B0"/>
    <w:rsid w:val="003133F8"/>
    <w:rsid w:val="00315803"/>
    <w:rsid w:val="00321826"/>
    <w:rsid w:val="00322A43"/>
    <w:rsid w:val="00333AF8"/>
    <w:rsid w:val="00343960"/>
    <w:rsid w:val="00365308"/>
    <w:rsid w:val="00366515"/>
    <w:rsid w:val="0037025B"/>
    <w:rsid w:val="0037037F"/>
    <w:rsid w:val="003733B8"/>
    <w:rsid w:val="003818D2"/>
    <w:rsid w:val="003832F1"/>
    <w:rsid w:val="003A3FE8"/>
    <w:rsid w:val="003A7294"/>
    <w:rsid w:val="003B0C6C"/>
    <w:rsid w:val="003C1928"/>
    <w:rsid w:val="003D1D93"/>
    <w:rsid w:val="003D1F86"/>
    <w:rsid w:val="003D6D22"/>
    <w:rsid w:val="003D7F01"/>
    <w:rsid w:val="003E121A"/>
    <w:rsid w:val="003E2627"/>
    <w:rsid w:val="003E733E"/>
    <w:rsid w:val="003F202D"/>
    <w:rsid w:val="003F6A84"/>
    <w:rsid w:val="003F72C9"/>
    <w:rsid w:val="00405ABD"/>
    <w:rsid w:val="00421D30"/>
    <w:rsid w:val="00423912"/>
    <w:rsid w:val="004255D5"/>
    <w:rsid w:val="00426AD2"/>
    <w:rsid w:val="004305DB"/>
    <w:rsid w:val="004306CE"/>
    <w:rsid w:val="00433ACC"/>
    <w:rsid w:val="00434E0E"/>
    <w:rsid w:val="0044695E"/>
    <w:rsid w:val="00453445"/>
    <w:rsid w:val="004543EF"/>
    <w:rsid w:val="00456E6B"/>
    <w:rsid w:val="004579B4"/>
    <w:rsid w:val="00465403"/>
    <w:rsid w:val="00467EC8"/>
    <w:rsid w:val="004745D3"/>
    <w:rsid w:val="00474D9F"/>
    <w:rsid w:val="00475366"/>
    <w:rsid w:val="00475FD4"/>
    <w:rsid w:val="0048565E"/>
    <w:rsid w:val="0049082B"/>
    <w:rsid w:val="0049745A"/>
    <w:rsid w:val="004A60A7"/>
    <w:rsid w:val="004A77D6"/>
    <w:rsid w:val="004B0B02"/>
    <w:rsid w:val="004B2EBA"/>
    <w:rsid w:val="004B38AE"/>
    <w:rsid w:val="004C4244"/>
    <w:rsid w:val="004C47D4"/>
    <w:rsid w:val="004C4C5B"/>
    <w:rsid w:val="004C4DAE"/>
    <w:rsid w:val="004D14E5"/>
    <w:rsid w:val="004D38BC"/>
    <w:rsid w:val="004D419B"/>
    <w:rsid w:val="004D58B1"/>
    <w:rsid w:val="004D5CD6"/>
    <w:rsid w:val="004E2498"/>
    <w:rsid w:val="004E78FC"/>
    <w:rsid w:val="004F0630"/>
    <w:rsid w:val="004F4C90"/>
    <w:rsid w:val="004F7CF2"/>
    <w:rsid w:val="004F7D94"/>
    <w:rsid w:val="00505DA2"/>
    <w:rsid w:val="00506EC2"/>
    <w:rsid w:val="005103C9"/>
    <w:rsid w:val="00510926"/>
    <w:rsid w:val="00510AA6"/>
    <w:rsid w:val="00512877"/>
    <w:rsid w:val="00513D1F"/>
    <w:rsid w:val="005142F5"/>
    <w:rsid w:val="00526A5A"/>
    <w:rsid w:val="00531237"/>
    <w:rsid w:val="005324B6"/>
    <w:rsid w:val="00536EE6"/>
    <w:rsid w:val="00537486"/>
    <w:rsid w:val="00542F06"/>
    <w:rsid w:val="00546EF7"/>
    <w:rsid w:val="00546FE9"/>
    <w:rsid w:val="00551240"/>
    <w:rsid w:val="00553592"/>
    <w:rsid w:val="005538BF"/>
    <w:rsid w:val="00554916"/>
    <w:rsid w:val="0055643A"/>
    <w:rsid w:val="005621ED"/>
    <w:rsid w:val="005668CD"/>
    <w:rsid w:val="0057055D"/>
    <w:rsid w:val="005768E3"/>
    <w:rsid w:val="005B1C68"/>
    <w:rsid w:val="005B7053"/>
    <w:rsid w:val="005C553E"/>
    <w:rsid w:val="005C726E"/>
    <w:rsid w:val="005D1813"/>
    <w:rsid w:val="005D6D84"/>
    <w:rsid w:val="005D6F74"/>
    <w:rsid w:val="005E1195"/>
    <w:rsid w:val="005E2A67"/>
    <w:rsid w:val="005E5CAB"/>
    <w:rsid w:val="005E7C7B"/>
    <w:rsid w:val="005F5D1E"/>
    <w:rsid w:val="005F6535"/>
    <w:rsid w:val="0060009B"/>
    <w:rsid w:val="00602FE7"/>
    <w:rsid w:val="00622091"/>
    <w:rsid w:val="00624603"/>
    <w:rsid w:val="00632346"/>
    <w:rsid w:val="006358A6"/>
    <w:rsid w:val="006404F8"/>
    <w:rsid w:val="006431B2"/>
    <w:rsid w:val="00646113"/>
    <w:rsid w:val="00661C7F"/>
    <w:rsid w:val="00666BD7"/>
    <w:rsid w:val="006702CC"/>
    <w:rsid w:val="006712A2"/>
    <w:rsid w:val="00672929"/>
    <w:rsid w:val="00672C3A"/>
    <w:rsid w:val="0068142A"/>
    <w:rsid w:val="00682C5C"/>
    <w:rsid w:val="00683D6C"/>
    <w:rsid w:val="00684F06"/>
    <w:rsid w:val="00690A8B"/>
    <w:rsid w:val="0069295E"/>
    <w:rsid w:val="006940AF"/>
    <w:rsid w:val="00694345"/>
    <w:rsid w:val="00696F77"/>
    <w:rsid w:val="00697C71"/>
    <w:rsid w:val="006A0CB1"/>
    <w:rsid w:val="006A33D7"/>
    <w:rsid w:val="006B1D68"/>
    <w:rsid w:val="006C02D6"/>
    <w:rsid w:val="006C4387"/>
    <w:rsid w:val="006D1C89"/>
    <w:rsid w:val="006D2CC4"/>
    <w:rsid w:val="006D756A"/>
    <w:rsid w:val="006E07DB"/>
    <w:rsid w:val="006E6E92"/>
    <w:rsid w:val="006F28F6"/>
    <w:rsid w:val="006F507A"/>
    <w:rsid w:val="00702EC6"/>
    <w:rsid w:val="007033B5"/>
    <w:rsid w:val="00703EFC"/>
    <w:rsid w:val="00713408"/>
    <w:rsid w:val="007178AB"/>
    <w:rsid w:val="00724FE2"/>
    <w:rsid w:val="00736CBD"/>
    <w:rsid w:val="00741117"/>
    <w:rsid w:val="00743CEF"/>
    <w:rsid w:val="00744CED"/>
    <w:rsid w:val="00744CF8"/>
    <w:rsid w:val="0074538A"/>
    <w:rsid w:val="00752672"/>
    <w:rsid w:val="0075598B"/>
    <w:rsid w:val="00760693"/>
    <w:rsid w:val="00766580"/>
    <w:rsid w:val="00773347"/>
    <w:rsid w:val="007752F9"/>
    <w:rsid w:val="00776A35"/>
    <w:rsid w:val="0078069A"/>
    <w:rsid w:val="00781525"/>
    <w:rsid w:val="00785698"/>
    <w:rsid w:val="007900D6"/>
    <w:rsid w:val="00792105"/>
    <w:rsid w:val="007964B6"/>
    <w:rsid w:val="007A0CC4"/>
    <w:rsid w:val="007A0EBE"/>
    <w:rsid w:val="007B0E00"/>
    <w:rsid w:val="007B2C25"/>
    <w:rsid w:val="007B4646"/>
    <w:rsid w:val="007B5C1C"/>
    <w:rsid w:val="007C3440"/>
    <w:rsid w:val="007C3767"/>
    <w:rsid w:val="007C4498"/>
    <w:rsid w:val="007C4CEA"/>
    <w:rsid w:val="007D2FEC"/>
    <w:rsid w:val="007D5500"/>
    <w:rsid w:val="007D6E2D"/>
    <w:rsid w:val="007D6EDF"/>
    <w:rsid w:val="007E5216"/>
    <w:rsid w:val="007F3E6F"/>
    <w:rsid w:val="007F3EF5"/>
    <w:rsid w:val="007F4BF7"/>
    <w:rsid w:val="008025BD"/>
    <w:rsid w:val="00812B37"/>
    <w:rsid w:val="00812B55"/>
    <w:rsid w:val="008171BD"/>
    <w:rsid w:val="00823089"/>
    <w:rsid w:val="0082311F"/>
    <w:rsid w:val="00830E94"/>
    <w:rsid w:val="00834D69"/>
    <w:rsid w:val="00836518"/>
    <w:rsid w:val="008460EB"/>
    <w:rsid w:val="00855FA2"/>
    <w:rsid w:val="00856D09"/>
    <w:rsid w:val="0086741F"/>
    <w:rsid w:val="0087659C"/>
    <w:rsid w:val="00876C1E"/>
    <w:rsid w:val="00880D6D"/>
    <w:rsid w:val="00880EB7"/>
    <w:rsid w:val="008812E3"/>
    <w:rsid w:val="008844CE"/>
    <w:rsid w:val="0088730A"/>
    <w:rsid w:val="008908DB"/>
    <w:rsid w:val="00890AB9"/>
    <w:rsid w:val="0089246F"/>
    <w:rsid w:val="00892DFF"/>
    <w:rsid w:val="008941F4"/>
    <w:rsid w:val="008955F3"/>
    <w:rsid w:val="008B6CC9"/>
    <w:rsid w:val="008B7690"/>
    <w:rsid w:val="008B7860"/>
    <w:rsid w:val="008C3339"/>
    <w:rsid w:val="008C4A94"/>
    <w:rsid w:val="008C6E21"/>
    <w:rsid w:val="008E039A"/>
    <w:rsid w:val="008E5CAA"/>
    <w:rsid w:val="008F0315"/>
    <w:rsid w:val="008F05AB"/>
    <w:rsid w:val="008F05DF"/>
    <w:rsid w:val="008F1630"/>
    <w:rsid w:val="008F562D"/>
    <w:rsid w:val="0090263B"/>
    <w:rsid w:val="00904900"/>
    <w:rsid w:val="009065B8"/>
    <w:rsid w:val="00906A19"/>
    <w:rsid w:val="00907F1C"/>
    <w:rsid w:val="00914DC7"/>
    <w:rsid w:val="0091776A"/>
    <w:rsid w:val="00921A7E"/>
    <w:rsid w:val="00922D4F"/>
    <w:rsid w:val="009251C6"/>
    <w:rsid w:val="00925B9C"/>
    <w:rsid w:val="00926FA6"/>
    <w:rsid w:val="00934393"/>
    <w:rsid w:val="00937FD4"/>
    <w:rsid w:val="00941C64"/>
    <w:rsid w:val="00944294"/>
    <w:rsid w:val="0094541C"/>
    <w:rsid w:val="00946438"/>
    <w:rsid w:val="009477D8"/>
    <w:rsid w:val="00961662"/>
    <w:rsid w:val="00961AB8"/>
    <w:rsid w:val="00963376"/>
    <w:rsid w:val="00964429"/>
    <w:rsid w:val="00967AE2"/>
    <w:rsid w:val="00983356"/>
    <w:rsid w:val="009835A7"/>
    <w:rsid w:val="00983C81"/>
    <w:rsid w:val="009957CA"/>
    <w:rsid w:val="00995D1E"/>
    <w:rsid w:val="00995FF6"/>
    <w:rsid w:val="00997057"/>
    <w:rsid w:val="009A025A"/>
    <w:rsid w:val="009A08EB"/>
    <w:rsid w:val="009A465E"/>
    <w:rsid w:val="009A7BE9"/>
    <w:rsid w:val="009B2074"/>
    <w:rsid w:val="009B27F2"/>
    <w:rsid w:val="009B54FD"/>
    <w:rsid w:val="009B5800"/>
    <w:rsid w:val="009C0712"/>
    <w:rsid w:val="009C70BC"/>
    <w:rsid w:val="009C7A2D"/>
    <w:rsid w:val="009D2FCE"/>
    <w:rsid w:val="009D4AA0"/>
    <w:rsid w:val="009E7254"/>
    <w:rsid w:val="009E7E43"/>
    <w:rsid w:val="009F0854"/>
    <w:rsid w:val="009F3E65"/>
    <w:rsid w:val="009F4707"/>
    <w:rsid w:val="009F514C"/>
    <w:rsid w:val="009F78DE"/>
    <w:rsid w:val="00A112A3"/>
    <w:rsid w:val="00A12408"/>
    <w:rsid w:val="00A131F7"/>
    <w:rsid w:val="00A13334"/>
    <w:rsid w:val="00A176FC"/>
    <w:rsid w:val="00A22B00"/>
    <w:rsid w:val="00A22D11"/>
    <w:rsid w:val="00A335A1"/>
    <w:rsid w:val="00A50A3E"/>
    <w:rsid w:val="00A657CC"/>
    <w:rsid w:val="00A67090"/>
    <w:rsid w:val="00A71F5E"/>
    <w:rsid w:val="00A776D1"/>
    <w:rsid w:val="00A94E5E"/>
    <w:rsid w:val="00AA4DB6"/>
    <w:rsid w:val="00AA5C35"/>
    <w:rsid w:val="00AB5180"/>
    <w:rsid w:val="00AB707C"/>
    <w:rsid w:val="00AB7F17"/>
    <w:rsid w:val="00AC2876"/>
    <w:rsid w:val="00AC6044"/>
    <w:rsid w:val="00AD3F03"/>
    <w:rsid w:val="00AD6273"/>
    <w:rsid w:val="00AD7AC3"/>
    <w:rsid w:val="00AE0982"/>
    <w:rsid w:val="00AE471D"/>
    <w:rsid w:val="00AE56F0"/>
    <w:rsid w:val="00AE5D5A"/>
    <w:rsid w:val="00AE6258"/>
    <w:rsid w:val="00AF091F"/>
    <w:rsid w:val="00AF1189"/>
    <w:rsid w:val="00AF658A"/>
    <w:rsid w:val="00B01155"/>
    <w:rsid w:val="00B05F0B"/>
    <w:rsid w:val="00B10A70"/>
    <w:rsid w:val="00B14555"/>
    <w:rsid w:val="00B15D05"/>
    <w:rsid w:val="00B2234A"/>
    <w:rsid w:val="00B233E0"/>
    <w:rsid w:val="00B24718"/>
    <w:rsid w:val="00B27424"/>
    <w:rsid w:val="00B27B32"/>
    <w:rsid w:val="00B27C7E"/>
    <w:rsid w:val="00B31D09"/>
    <w:rsid w:val="00B31FCD"/>
    <w:rsid w:val="00B41280"/>
    <w:rsid w:val="00B42083"/>
    <w:rsid w:val="00B43D46"/>
    <w:rsid w:val="00B4558D"/>
    <w:rsid w:val="00B456DF"/>
    <w:rsid w:val="00B53319"/>
    <w:rsid w:val="00B56897"/>
    <w:rsid w:val="00B56A1C"/>
    <w:rsid w:val="00B60038"/>
    <w:rsid w:val="00B72BF3"/>
    <w:rsid w:val="00B75A6B"/>
    <w:rsid w:val="00B80611"/>
    <w:rsid w:val="00B849AB"/>
    <w:rsid w:val="00B92171"/>
    <w:rsid w:val="00B92A7C"/>
    <w:rsid w:val="00B973C6"/>
    <w:rsid w:val="00BA0330"/>
    <w:rsid w:val="00BA0E66"/>
    <w:rsid w:val="00BA49C2"/>
    <w:rsid w:val="00BA4B8D"/>
    <w:rsid w:val="00BB326D"/>
    <w:rsid w:val="00BB3A3D"/>
    <w:rsid w:val="00BB546A"/>
    <w:rsid w:val="00BB7D14"/>
    <w:rsid w:val="00BB7FC8"/>
    <w:rsid w:val="00BC0FF9"/>
    <w:rsid w:val="00BC340D"/>
    <w:rsid w:val="00BD2E2A"/>
    <w:rsid w:val="00BE35AA"/>
    <w:rsid w:val="00BE6674"/>
    <w:rsid w:val="00BF2B6B"/>
    <w:rsid w:val="00BF4345"/>
    <w:rsid w:val="00BF6C97"/>
    <w:rsid w:val="00BF7FE2"/>
    <w:rsid w:val="00C05231"/>
    <w:rsid w:val="00C10EC2"/>
    <w:rsid w:val="00C15E29"/>
    <w:rsid w:val="00C2097B"/>
    <w:rsid w:val="00C212CD"/>
    <w:rsid w:val="00C23FE1"/>
    <w:rsid w:val="00C24155"/>
    <w:rsid w:val="00C26446"/>
    <w:rsid w:val="00C32F68"/>
    <w:rsid w:val="00C34145"/>
    <w:rsid w:val="00C34151"/>
    <w:rsid w:val="00C342FD"/>
    <w:rsid w:val="00C36E5E"/>
    <w:rsid w:val="00C377B0"/>
    <w:rsid w:val="00C423C4"/>
    <w:rsid w:val="00C426F9"/>
    <w:rsid w:val="00C42C62"/>
    <w:rsid w:val="00C45A00"/>
    <w:rsid w:val="00C4671A"/>
    <w:rsid w:val="00C47C23"/>
    <w:rsid w:val="00C51BC0"/>
    <w:rsid w:val="00C557B0"/>
    <w:rsid w:val="00C5711E"/>
    <w:rsid w:val="00C5738D"/>
    <w:rsid w:val="00C57D67"/>
    <w:rsid w:val="00C70E27"/>
    <w:rsid w:val="00C72505"/>
    <w:rsid w:val="00C77B2C"/>
    <w:rsid w:val="00C81055"/>
    <w:rsid w:val="00C84532"/>
    <w:rsid w:val="00C853F0"/>
    <w:rsid w:val="00C92894"/>
    <w:rsid w:val="00C96BE1"/>
    <w:rsid w:val="00CA0AF2"/>
    <w:rsid w:val="00CB23A9"/>
    <w:rsid w:val="00CB522E"/>
    <w:rsid w:val="00CC1217"/>
    <w:rsid w:val="00CC3660"/>
    <w:rsid w:val="00CC3721"/>
    <w:rsid w:val="00CC50BE"/>
    <w:rsid w:val="00CC6C90"/>
    <w:rsid w:val="00CD5CBE"/>
    <w:rsid w:val="00CD6437"/>
    <w:rsid w:val="00CD7C23"/>
    <w:rsid w:val="00CE1BF1"/>
    <w:rsid w:val="00CE4679"/>
    <w:rsid w:val="00CE6C57"/>
    <w:rsid w:val="00CE6FA5"/>
    <w:rsid w:val="00CF3A0E"/>
    <w:rsid w:val="00CF7AEC"/>
    <w:rsid w:val="00D0265B"/>
    <w:rsid w:val="00D04C02"/>
    <w:rsid w:val="00D10C01"/>
    <w:rsid w:val="00D11EE6"/>
    <w:rsid w:val="00D1432E"/>
    <w:rsid w:val="00D1456B"/>
    <w:rsid w:val="00D24EE8"/>
    <w:rsid w:val="00D26BEE"/>
    <w:rsid w:val="00D3374D"/>
    <w:rsid w:val="00D35C41"/>
    <w:rsid w:val="00D40AEC"/>
    <w:rsid w:val="00D47CB1"/>
    <w:rsid w:val="00D5038A"/>
    <w:rsid w:val="00D51F64"/>
    <w:rsid w:val="00D55154"/>
    <w:rsid w:val="00D60CD2"/>
    <w:rsid w:val="00D84ECC"/>
    <w:rsid w:val="00D91355"/>
    <w:rsid w:val="00D9299D"/>
    <w:rsid w:val="00D92F29"/>
    <w:rsid w:val="00DA45C4"/>
    <w:rsid w:val="00DA7575"/>
    <w:rsid w:val="00DB2FE1"/>
    <w:rsid w:val="00DB58E2"/>
    <w:rsid w:val="00DB6439"/>
    <w:rsid w:val="00DC1B9F"/>
    <w:rsid w:val="00DC2F7C"/>
    <w:rsid w:val="00DD0CD8"/>
    <w:rsid w:val="00DD20D1"/>
    <w:rsid w:val="00DD4A7E"/>
    <w:rsid w:val="00DE4592"/>
    <w:rsid w:val="00E03723"/>
    <w:rsid w:val="00E03FAA"/>
    <w:rsid w:val="00E0460E"/>
    <w:rsid w:val="00E13884"/>
    <w:rsid w:val="00E17EAD"/>
    <w:rsid w:val="00E21D9F"/>
    <w:rsid w:val="00E221A5"/>
    <w:rsid w:val="00E24E52"/>
    <w:rsid w:val="00E35846"/>
    <w:rsid w:val="00E36C3D"/>
    <w:rsid w:val="00E37E8E"/>
    <w:rsid w:val="00E4283A"/>
    <w:rsid w:val="00E43A0A"/>
    <w:rsid w:val="00E46282"/>
    <w:rsid w:val="00E46FC9"/>
    <w:rsid w:val="00E57270"/>
    <w:rsid w:val="00E57383"/>
    <w:rsid w:val="00E61C0F"/>
    <w:rsid w:val="00E6303A"/>
    <w:rsid w:val="00E67617"/>
    <w:rsid w:val="00E74C17"/>
    <w:rsid w:val="00E854DF"/>
    <w:rsid w:val="00E86426"/>
    <w:rsid w:val="00E950B7"/>
    <w:rsid w:val="00EA3968"/>
    <w:rsid w:val="00EA5A94"/>
    <w:rsid w:val="00EA6C91"/>
    <w:rsid w:val="00EA6CB5"/>
    <w:rsid w:val="00EB0C27"/>
    <w:rsid w:val="00EB19F3"/>
    <w:rsid w:val="00EB3B68"/>
    <w:rsid w:val="00EB6356"/>
    <w:rsid w:val="00EB6DA2"/>
    <w:rsid w:val="00ED2AFA"/>
    <w:rsid w:val="00ED76BE"/>
    <w:rsid w:val="00EE0892"/>
    <w:rsid w:val="00EE0E51"/>
    <w:rsid w:val="00EE1579"/>
    <w:rsid w:val="00EE6328"/>
    <w:rsid w:val="00EF647E"/>
    <w:rsid w:val="00F035C2"/>
    <w:rsid w:val="00F03AF4"/>
    <w:rsid w:val="00F04096"/>
    <w:rsid w:val="00F073D4"/>
    <w:rsid w:val="00F13257"/>
    <w:rsid w:val="00F20CAA"/>
    <w:rsid w:val="00F2335B"/>
    <w:rsid w:val="00F27483"/>
    <w:rsid w:val="00F30181"/>
    <w:rsid w:val="00F31ADB"/>
    <w:rsid w:val="00F437AE"/>
    <w:rsid w:val="00F44B6B"/>
    <w:rsid w:val="00F577CD"/>
    <w:rsid w:val="00F6539B"/>
    <w:rsid w:val="00F676B4"/>
    <w:rsid w:val="00F67842"/>
    <w:rsid w:val="00F67C1D"/>
    <w:rsid w:val="00F721E0"/>
    <w:rsid w:val="00F722C9"/>
    <w:rsid w:val="00F760CA"/>
    <w:rsid w:val="00F7626F"/>
    <w:rsid w:val="00F8208B"/>
    <w:rsid w:val="00F83C66"/>
    <w:rsid w:val="00F841F6"/>
    <w:rsid w:val="00F86E8E"/>
    <w:rsid w:val="00FA3EBD"/>
    <w:rsid w:val="00FA6675"/>
    <w:rsid w:val="00FA79ED"/>
    <w:rsid w:val="00FB71DC"/>
    <w:rsid w:val="00FC50EF"/>
    <w:rsid w:val="00FE447F"/>
    <w:rsid w:val="00FE78BC"/>
    <w:rsid w:val="00FF02EE"/>
    <w:rsid w:val="019A7543"/>
    <w:rsid w:val="01AF4604"/>
    <w:rsid w:val="01B2668A"/>
    <w:rsid w:val="01D54ECF"/>
    <w:rsid w:val="01FA03C7"/>
    <w:rsid w:val="024F2E98"/>
    <w:rsid w:val="02ED3835"/>
    <w:rsid w:val="02EF529C"/>
    <w:rsid w:val="03054C98"/>
    <w:rsid w:val="03157439"/>
    <w:rsid w:val="03176CC4"/>
    <w:rsid w:val="03276338"/>
    <w:rsid w:val="03901E6B"/>
    <w:rsid w:val="04256747"/>
    <w:rsid w:val="043D00C3"/>
    <w:rsid w:val="045529D7"/>
    <w:rsid w:val="055F12F0"/>
    <w:rsid w:val="058730D7"/>
    <w:rsid w:val="058C7D7A"/>
    <w:rsid w:val="058D031D"/>
    <w:rsid w:val="05F71E0A"/>
    <w:rsid w:val="07091578"/>
    <w:rsid w:val="0718741A"/>
    <w:rsid w:val="079056EE"/>
    <w:rsid w:val="07E10137"/>
    <w:rsid w:val="080037B9"/>
    <w:rsid w:val="080547B3"/>
    <w:rsid w:val="080E7408"/>
    <w:rsid w:val="08851341"/>
    <w:rsid w:val="0A2E711F"/>
    <w:rsid w:val="0A340385"/>
    <w:rsid w:val="0BAC175F"/>
    <w:rsid w:val="0BAC54ED"/>
    <w:rsid w:val="0BBB490E"/>
    <w:rsid w:val="0BCF2624"/>
    <w:rsid w:val="0C140E13"/>
    <w:rsid w:val="0C16219A"/>
    <w:rsid w:val="0C460E45"/>
    <w:rsid w:val="0C9845A1"/>
    <w:rsid w:val="0D0E5F9A"/>
    <w:rsid w:val="0DA77B9E"/>
    <w:rsid w:val="0DB13571"/>
    <w:rsid w:val="0DCA25E1"/>
    <w:rsid w:val="0E9031D4"/>
    <w:rsid w:val="0F0C3FB1"/>
    <w:rsid w:val="0F283341"/>
    <w:rsid w:val="0F2B091F"/>
    <w:rsid w:val="11321AAA"/>
    <w:rsid w:val="11653AC1"/>
    <w:rsid w:val="11EE5E8B"/>
    <w:rsid w:val="11F2658C"/>
    <w:rsid w:val="11F3312B"/>
    <w:rsid w:val="125705DE"/>
    <w:rsid w:val="127A12BB"/>
    <w:rsid w:val="135F3DE4"/>
    <w:rsid w:val="13E933CC"/>
    <w:rsid w:val="14C80E37"/>
    <w:rsid w:val="15084175"/>
    <w:rsid w:val="15485E24"/>
    <w:rsid w:val="155A6995"/>
    <w:rsid w:val="15AF3217"/>
    <w:rsid w:val="160E3DC4"/>
    <w:rsid w:val="162D4D65"/>
    <w:rsid w:val="170D40C5"/>
    <w:rsid w:val="173C5207"/>
    <w:rsid w:val="17992BBB"/>
    <w:rsid w:val="18872067"/>
    <w:rsid w:val="189B3DC0"/>
    <w:rsid w:val="19C45E94"/>
    <w:rsid w:val="1A5C64B7"/>
    <w:rsid w:val="1CA96CB6"/>
    <w:rsid w:val="1CD25C18"/>
    <w:rsid w:val="1D036455"/>
    <w:rsid w:val="1D10197E"/>
    <w:rsid w:val="1DE943D5"/>
    <w:rsid w:val="1E066D24"/>
    <w:rsid w:val="1E9D07E5"/>
    <w:rsid w:val="1EFF5D4C"/>
    <w:rsid w:val="1F6F377F"/>
    <w:rsid w:val="1F923BFD"/>
    <w:rsid w:val="2033078F"/>
    <w:rsid w:val="20454BA4"/>
    <w:rsid w:val="206D4353"/>
    <w:rsid w:val="20910B2A"/>
    <w:rsid w:val="20BC33F6"/>
    <w:rsid w:val="20C438C5"/>
    <w:rsid w:val="20C84A09"/>
    <w:rsid w:val="211329DA"/>
    <w:rsid w:val="21342902"/>
    <w:rsid w:val="213974CB"/>
    <w:rsid w:val="21400721"/>
    <w:rsid w:val="215D26B3"/>
    <w:rsid w:val="218965C9"/>
    <w:rsid w:val="24FE578F"/>
    <w:rsid w:val="25122022"/>
    <w:rsid w:val="25C65B8A"/>
    <w:rsid w:val="25EE1D9F"/>
    <w:rsid w:val="26021C2E"/>
    <w:rsid w:val="268B5566"/>
    <w:rsid w:val="268B7FCE"/>
    <w:rsid w:val="26CC6720"/>
    <w:rsid w:val="26E74096"/>
    <w:rsid w:val="26EC6016"/>
    <w:rsid w:val="27B726FB"/>
    <w:rsid w:val="284745D9"/>
    <w:rsid w:val="28732CEC"/>
    <w:rsid w:val="28820EE8"/>
    <w:rsid w:val="28E12704"/>
    <w:rsid w:val="293D42B2"/>
    <w:rsid w:val="29550C34"/>
    <w:rsid w:val="299E7CDD"/>
    <w:rsid w:val="29E07562"/>
    <w:rsid w:val="2A1D5DD1"/>
    <w:rsid w:val="2A271414"/>
    <w:rsid w:val="2A513BC7"/>
    <w:rsid w:val="2B14035D"/>
    <w:rsid w:val="2B80531C"/>
    <w:rsid w:val="2C050289"/>
    <w:rsid w:val="2D3F6E3B"/>
    <w:rsid w:val="2D462CA0"/>
    <w:rsid w:val="2D783497"/>
    <w:rsid w:val="2E0B1351"/>
    <w:rsid w:val="2E216D05"/>
    <w:rsid w:val="2E6933CE"/>
    <w:rsid w:val="2EE44AA2"/>
    <w:rsid w:val="2F211BFD"/>
    <w:rsid w:val="2F2272C6"/>
    <w:rsid w:val="2F75287C"/>
    <w:rsid w:val="2FE145B7"/>
    <w:rsid w:val="2FEF318F"/>
    <w:rsid w:val="30123539"/>
    <w:rsid w:val="30564EC3"/>
    <w:rsid w:val="30D22A2D"/>
    <w:rsid w:val="32A5467B"/>
    <w:rsid w:val="32B913AB"/>
    <w:rsid w:val="32C542DC"/>
    <w:rsid w:val="32CB0085"/>
    <w:rsid w:val="335301A8"/>
    <w:rsid w:val="33760739"/>
    <w:rsid w:val="34B619AE"/>
    <w:rsid w:val="34E431AE"/>
    <w:rsid w:val="35C07740"/>
    <w:rsid w:val="35E05D71"/>
    <w:rsid w:val="35F76384"/>
    <w:rsid w:val="35FD6E34"/>
    <w:rsid w:val="36815134"/>
    <w:rsid w:val="37B36F71"/>
    <w:rsid w:val="38A61305"/>
    <w:rsid w:val="38AF78F6"/>
    <w:rsid w:val="38F000E1"/>
    <w:rsid w:val="393837F4"/>
    <w:rsid w:val="397856D5"/>
    <w:rsid w:val="39AE210B"/>
    <w:rsid w:val="3AA3630F"/>
    <w:rsid w:val="3AC828EE"/>
    <w:rsid w:val="3BAE1E62"/>
    <w:rsid w:val="3BAF729B"/>
    <w:rsid w:val="3BDF5C1C"/>
    <w:rsid w:val="3C093050"/>
    <w:rsid w:val="3CE22DF2"/>
    <w:rsid w:val="3D166388"/>
    <w:rsid w:val="3D7259AA"/>
    <w:rsid w:val="3D891EFB"/>
    <w:rsid w:val="3D8E2E15"/>
    <w:rsid w:val="3DC82246"/>
    <w:rsid w:val="3E9F7AC9"/>
    <w:rsid w:val="3F126C14"/>
    <w:rsid w:val="3F584D48"/>
    <w:rsid w:val="3F8F30E7"/>
    <w:rsid w:val="40423E0D"/>
    <w:rsid w:val="404C63E6"/>
    <w:rsid w:val="407B0784"/>
    <w:rsid w:val="40854466"/>
    <w:rsid w:val="40900185"/>
    <w:rsid w:val="40D667EF"/>
    <w:rsid w:val="410F685E"/>
    <w:rsid w:val="41332230"/>
    <w:rsid w:val="41425DB5"/>
    <w:rsid w:val="418450C4"/>
    <w:rsid w:val="41E5210B"/>
    <w:rsid w:val="42D25330"/>
    <w:rsid w:val="43D93664"/>
    <w:rsid w:val="44B2227B"/>
    <w:rsid w:val="45930418"/>
    <w:rsid w:val="45A9394F"/>
    <w:rsid w:val="45D33280"/>
    <w:rsid w:val="471F331D"/>
    <w:rsid w:val="47214755"/>
    <w:rsid w:val="47557DAA"/>
    <w:rsid w:val="477675B9"/>
    <w:rsid w:val="47DD2FCE"/>
    <w:rsid w:val="488315CD"/>
    <w:rsid w:val="48F7039F"/>
    <w:rsid w:val="49104CED"/>
    <w:rsid w:val="4B2F7DFA"/>
    <w:rsid w:val="4B833463"/>
    <w:rsid w:val="4C1D6679"/>
    <w:rsid w:val="4CB80D8C"/>
    <w:rsid w:val="4DFD49F8"/>
    <w:rsid w:val="4F2A3FBF"/>
    <w:rsid w:val="51176FCB"/>
    <w:rsid w:val="51622C52"/>
    <w:rsid w:val="533A4248"/>
    <w:rsid w:val="548C367A"/>
    <w:rsid w:val="54A4514B"/>
    <w:rsid w:val="55130E86"/>
    <w:rsid w:val="557A1E14"/>
    <w:rsid w:val="55831899"/>
    <w:rsid w:val="581065DF"/>
    <w:rsid w:val="58426DC2"/>
    <w:rsid w:val="58B23863"/>
    <w:rsid w:val="58F12D14"/>
    <w:rsid w:val="59164E85"/>
    <w:rsid w:val="591B2573"/>
    <w:rsid w:val="594409FA"/>
    <w:rsid w:val="59922827"/>
    <w:rsid w:val="59EB6361"/>
    <w:rsid w:val="5A081840"/>
    <w:rsid w:val="5A09798B"/>
    <w:rsid w:val="5A9D106C"/>
    <w:rsid w:val="5AC61BE2"/>
    <w:rsid w:val="5AE577FC"/>
    <w:rsid w:val="5AE61379"/>
    <w:rsid w:val="5AFA469E"/>
    <w:rsid w:val="5C0A469A"/>
    <w:rsid w:val="5C8C2991"/>
    <w:rsid w:val="5C8D38EE"/>
    <w:rsid w:val="5C9726AC"/>
    <w:rsid w:val="5CB70408"/>
    <w:rsid w:val="5DA96FF4"/>
    <w:rsid w:val="5DB22261"/>
    <w:rsid w:val="5DB75198"/>
    <w:rsid w:val="5E04288D"/>
    <w:rsid w:val="5E1E1F44"/>
    <w:rsid w:val="5FDB5683"/>
    <w:rsid w:val="5FF45EEE"/>
    <w:rsid w:val="601B5B52"/>
    <w:rsid w:val="60D3295B"/>
    <w:rsid w:val="60F904A5"/>
    <w:rsid w:val="615B579D"/>
    <w:rsid w:val="616D5FFB"/>
    <w:rsid w:val="62831AE2"/>
    <w:rsid w:val="62FB7E42"/>
    <w:rsid w:val="640E3D34"/>
    <w:rsid w:val="64A56248"/>
    <w:rsid w:val="64D114A6"/>
    <w:rsid w:val="64EE397F"/>
    <w:rsid w:val="653D492A"/>
    <w:rsid w:val="655F4EEB"/>
    <w:rsid w:val="65FC1CB1"/>
    <w:rsid w:val="66007C7E"/>
    <w:rsid w:val="6610705C"/>
    <w:rsid w:val="66ED173F"/>
    <w:rsid w:val="66F63126"/>
    <w:rsid w:val="67064606"/>
    <w:rsid w:val="675B7E77"/>
    <w:rsid w:val="67AB0CC4"/>
    <w:rsid w:val="67D313F7"/>
    <w:rsid w:val="682206CD"/>
    <w:rsid w:val="68AC7CA1"/>
    <w:rsid w:val="68B67719"/>
    <w:rsid w:val="69614C75"/>
    <w:rsid w:val="69943DF4"/>
    <w:rsid w:val="69AB56AF"/>
    <w:rsid w:val="69E75D04"/>
    <w:rsid w:val="6A277320"/>
    <w:rsid w:val="6A915A91"/>
    <w:rsid w:val="6AA10B0E"/>
    <w:rsid w:val="6B114860"/>
    <w:rsid w:val="6B4C128D"/>
    <w:rsid w:val="6B8A0897"/>
    <w:rsid w:val="6B9104B8"/>
    <w:rsid w:val="6BB40038"/>
    <w:rsid w:val="6BC7023D"/>
    <w:rsid w:val="6BD41113"/>
    <w:rsid w:val="6BE72E74"/>
    <w:rsid w:val="6D9401F8"/>
    <w:rsid w:val="6ED208E1"/>
    <w:rsid w:val="6F165D50"/>
    <w:rsid w:val="6FF80FDD"/>
    <w:rsid w:val="708D252F"/>
    <w:rsid w:val="71555D70"/>
    <w:rsid w:val="718E3AF0"/>
    <w:rsid w:val="71E40D7B"/>
    <w:rsid w:val="72260BEE"/>
    <w:rsid w:val="729437C7"/>
    <w:rsid w:val="72B01881"/>
    <w:rsid w:val="72F764D8"/>
    <w:rsid w:val="72FA1B29"/>
    <w:rsid w:val="734630C6"/>
    <w:rsid w:val="73DA2422"/>
    <w:rsid w:val="73DB4E45"/>
    <w:rsid w:val="745A7935"/>
    <w:rsid w:val="747F4671"/>
    <w:rsid w:val="752A6B80"/>
    <w:rsid w:val="761552E1"/>
    <w:rsid w:val="76566BD6"/>
    <w:rsid w:val="77082550"/>
    <w:rsid w:val="774303C5"/>
    <w:rsid w:val="78186074"/>
    <w:rsid w:val="78F255D6"/>
    <w:rsid w:val="794C20D4"/>
    <w:rsid w:val="79BE7F2A"/>
    <w:rsid w:val="7A104264"/>
    <w:rsid w:val="7A155D04"/>
    <w:rsid w:val="7A7C4D72"/>
    <w:rsid w:val="7A8471F1"/>
    <w:rsid w:val="7AB47102"/>
    <w:rsid w:val="7AD429BF"/>
    <w:rsid w:val="7B390EA3"/>
    <w:rsid w:val="7B8D6C2F"/>
    <w:rsid w:val="7BA47B05"/>
    <w:rsid w:val="7BAC1F1C"/>
    <w:rsid w:val="7D944C9E"/>
    <w:rsid w:val="7DA20E86"/>
    <w:rsid w:val="7DAD41A7"/>
    <w:rsid w:val="7DBF7E4A"/>
    <w:rsid w:val="7E994081"/>
    <w:rsid w:val="7EB36D24"/>
    <w:rsid w:val="7F616463"/>
    <w:rsid w:val="7FED1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4">
    <w:name w:val="heading 2"/>
    <w:basedOn w:val="1"/>
    <w:next w:val="1"/>
    <w:link w:val="29"/>
    <w:qFormat/>
    <w:uiPriority w:val="0"/>
    <w:pPr>
      <w:numPr>
        <w:ilvl w:val="0"/>
        <w:numId w:val="2"/>
      </w:numPr>
      <w:tabs>
        <w:tab w:val="left" w:pos="480"/>
      </w:tabs>
      <w:snapToGrid w:val="0"/>
      <w:spacing w:before="120" w:after="120" w:line="400" w:lineRule="exact"/>
      <w:ind w:right="-630" w:rightChars="-300"/>
      <w:jc w:val="left"/>
      <w:outlineLvl w:val="1"/>
    </w:pPr>
    <w:rPr>
      <w:rFonts w:ascii="黑体" w:eastAsia="黑体"/>
      <w:b/>
      <w:kern w:val="0"/>
      <w:sz w:val="2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snapToGrid w:val="0"/>
      <w:spacing w:line="440" w:lineRule="atLeast"/>
      <w:outlineLvl w:val="3"/>
    </w:pPr>
    <w:rPr>
      <w:bCs/>
      <w:kern w:val="0"/>
      <w:sz w:val="24"/>
      <w:szCs w:val="28"/>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8">
    <w:name w:val="annotation text"/>
    <w:basedOn w:val="1"/>
    <w:link w:val="35"/>
    <w:semiHidden/>
    <w:qFormat/>
    <w:uiPriority w:val="99"/>
    <w:pPr>
      <w:jc w:val="left"/>
    </w:pPr>
  </w:style>
  <w:style w:type="paragraph" w:styleId="9">
    <w:name w:val="Salutation"/>
    <w:basedOn w:val="1"/>
    <w:next w:val="1"/>
    <w:qFormat/>
    <w:uiPriority w:val="0"/>
    <w:rPr>
      <w:rFonts w:ascii="ˎ̥" w:hAnsi="ˎ̥" w:cs="宋体"/>
      <w:kern w:val="0"/>
      <w:sz w:val="28"/>
      <w:szCs w:val="28"/>
    </w:rPr>
  </w:style>
  <w:style w:type="paragraph" w:styleId="10">
    <w:name w:val="Body Text Indent"/>
    <w:basedOn w:val="1"/>
    <w:qFormat/>
    <w:uiPriority w:val="0"/>
    <w:pPr>
      <w:snapToGrid w:val="0"/>
      <w:spacing w:after="120" w:line="440" w:lineRule="atLeast"/>
      <w:ind w:left="420" w:leftChars="200" w:firstLine="480" w:firstLineChars="200"/>
    </w:pPr>
    <w:rPr>
      <w:sz w:val="24"/>
    </w:rPr>
  </w:style>
  <w:style w:type="paragraph" w:styleId="11">
    <w:name w:val="toc 3"/>
    <w:basedOn w:val="1"/>
    <w:next w:val="1"/>
    <w:qFormat/>
    <w:uiPriority w:val="0"/>
    <w:pPr>
      <w:ind w:left="840" w:leftChars="400"/>
    </w:pPr>
  </w:style>
  <w:style w:type="paragraph" w:styleId="12">
    <w:name w:val="Plain Text"/>
    <w:basedOn w:val="1"/>
    <w:link w:val="32"/>
    <w:qFormat/>
    <w:uiPriority w:val="0"/>
    <w:pPr>
      <w:snapToGrid w:val="0"/>
      <w:spacing w:line="380" w:lineRule="atLeast"/>
    </w:pPr>
    <w:rPr>
      <w:rFonts w:cs="Courier New"/>
      <w:kern w:val="0"/>
      <w:szCs w:val="21"/>
    </w:rPr>
  </w:style>
  <w:style w:type="paragraph" w:styleId="13">
    <w:name w:val="Body Text Indent 2"/>
    <w:basedOn w:val="1"/>
    <w:qFormat/>
    <w:uiPriority w:val="0"/>
    <w:pPr>
      <w:ind w:firstLine="540"/>
    </w:pPr>
    <w:rPr>
      <w:sz w:val="28"/>
      <w:szCs w:val="20"/>
    </w:rPr>
  </w:style>
  <w:style w:type="paragraph" w:styleId="14">
    <w:name w:val="Balloon Text"/>
    <w:basedOn w:val="1"/>
    <w:semiHidden/>
    <w:qFormat/>
    <w:uiPriority w:val="0"/>
    <w:rPr>
      <w:sz w:val="18"/>
      <w:szCs w:val="18"/>
    </w:rPr>
  </w:style>
  <w:style w:type="paragraph" w:styleId="15">
    <w:name w:val="footer"/>
    <w:basedOn w:val="1"/>
    <w:link w:val="38"/>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296"/>
      </w:tabs>
      <w:snapToGrid w:val="0"/>
      <w:spacing w:line="440" w:lineRule="atLeast"/>
      <w:ind w:firstLine="480" w:firstLineChars="200"/>
    </w:pPr>
    <w:rPr>
      <w:sz w:val="24"/>
    </w:rPr>
  </w:style>
  <w:style w:type="paragraph" w:styleId="18">
    <w:name w:val="Subtitle"/>
    <w:basedOn w:val="1"/>
    <w:next w:val="1"/>
    <w:qFormat/>
    <w:uiPriority w:val="0"/>
    <w:pPr>
      <w:spacing w:before="240" w:after="60" w:line="312" w:lineRule="auto"/>
      <w:jc w:val="center"/>
      <w:outlineLvl w:val="1"/>
    </w:pPr>
    <w:rPr>
      <w:rFonts w:ascii="Cambria" w:hAnsi="Cambria" w:cs="黑体"/>
      <w:b/>
      <w:bCs/>
      <w:kern w:val="28"/>
      <w:sz w:val="32"/>
      <w:szCs w:val="32"/>
    </w:rPr>
  </w:style>
  <w:style w:type="paragraph" w:styleId="19">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annotation subject"/>
    <w:basedOn w:val="8"/>
    <w:next w:val="8"/>
    <w:semiHidden/>
    <w:qFormat/>
    <w:uiPriority w:val="0"/>
    <w:rPr>
      <w:b/>
      <w:bCs/>
    </w:rPr>
  </w:style>
  <w:style w:type="table" w:styleId="23">
    <w:name w:val="Table Grid"/>
    <w:basedOn w:val="22"/>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Strong"/>
    <w:qFormat/>
    <w:uiPriority w:val="0"/>
    <w:rPr>
      <w:b/>
      <w:bCs/>
    </w:rPr>
  </w:style>
  <w:style w:type="character" w:styleId="26">
    <w:name w:val="page number"/>
    <w:basedOn w:val="24"/>
    <w:qFormat/>
    <w:uiPriority w:val="0"/>
  </w:style>
  <w:style w:type="character" w:styleId="27">
    <w:name w:val="Hyperlink"/>
    <w:qFormat/>
    <w:uiPriority w:val="99"/>
    <w:rPr>
      <w:color w:val="0000FF"/>
      <w:u w:val="single"/>
    </w:rPr>
  </w:style>
  <w:style w:type="character" w:styleId="28">
    <w:name w:val="annotation reference"/>
    <w:semiHidden/>
    <w:qFormat/>
    <w:uiPriority w:val="99"/>
    <w:rPr>
      <w:sz w:val="21"/>
      <w:szCs w:val="21"/>
    </w:rPr>
  </w:style>
  <w:style w:type="character" w:customStyle="1" w:styleId="29">
    <w:name w:val="标题 2 Char"/>
    <w:link w:val="4"/>
    <w:qFormat/>
    <w:uiPriority w:val="0"/>
    <w:rPr>
      <w:rFonts w:ascii="黑体" w:eastAsia="黑体"/>
      <w:b/>
      <w:sz w:val="24"/>
      <w:szCs w:val="24"/>
    </w:rPr>
  </w:style>
  <w:style w:type="paragraph" w:customStyle="1" w:styleId="30">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31">
    <w:name w:val="表格标题"/>
    <w:basedOn w:val="1"/>
    <w:qFormat/>
    <w:uiPriority w:val="0"/>
    <w:pPr>
      <w:adjustRightInd w:val="0"/>
      <w:snapToGrid w:val="0"/>
      <w:spacing w:after="156" w:afterLines="50" w:line="360" w:lineRule="auto"/>
      <w:jc w:val="center"/>
    </w:pPr>
    <w:rPr>
      <w:rFonts w:eastAsia="黑体"/>
      <w:bCs/>
      <w:sz w:val="32"/>
      <w:szCs w:val="32"/>
    </w:rPr>
  </w:style>
  <w:style w:type="character" w:customStyle="1" w:styleId="32">
    <w:name w:val="纯文本 Char"/>
    <w:link w:val="12"/>
    <w:qFormat/>
    <w:locked/>
    <w:uiPriority w:val="0"/>
    <w:rPr>
      <w:rFonts w:eastAsia="宋体" w:cs="Courier New"/>
      <w:sz w:val="21"/>
      <w:szCs w:val="21"/>
      <w:lang w:val="en-US" w:eastAsia="zh-CN" w:bidi="ar-SA"/>
    </w:rPr>
  </w:style>
  <w:style w:type="character" w:customStyle="1" w:styleId="33">
    <w:name w:val="页眉 Char"/>
    <w:qFormat/>
    <w:uiPriority w:val="0"/>
    <w:rPr>
      <w:rFonts w:eastAsia="宋体"/>
      <w:kern w:val="2"/>
      <w:sz w:val="18"/>
      <w:szCs w:val="18"/>
      <w:lang w:val="en-US" w:eastAsia="zh-CN" w:bidi="ar-SA"/>
    </w:rPr>
  </w:style>
  <w:style w:type="paragraph" w:customStyle="1" w:styleId="34">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5">
    <w:name w:val="批注文字 Char"/>
    <w:link w:val="8"/>
    <w:semiHidden/>
    <w:qFormat/>
    <w:uiPriority w:val="99"/>
    <w:rPr>
      <w:kern w:val="2"/>
      <w:sz w:val="21"/>
      <w:szCs w:val="24"/>
    </w:rPr>
  </w:style>
  <w:style w:type="character" w:customStyle="1" w:styleId="36">
    <w:name w:val="apple-converted-space"/>
    <w:basedOn w:val="24"/>
    <w:qFormat/>
    <w:uiPriority w:val="0"/>
  </w:style>
  <w:style w:type="paragraph" w:customStyle="1" w:styleId="37">
    <w:name w:val="List Paragraph"/>
    <w:basedOn w:val="1"/>
    <w:qFormat/>
    <w:uiPriority w:val="99"/>
    <w:pPr>
      <w:ind w:firstLine="420" w:firstLineChars="200"/>
    </w:pPr>
    <w:rPr>
      <w:szCs w:val="21"/>
    </w:rPr>
  </w:style>
  <w:style w:type="character" w:customStyle="1" w:styleId="38">
    <w:name w:val="页脚 Char"/>
    <w:basedOn w:val="24"/>
    <w:link w:val="15"/>
    <w:qFormat/>
    <w:uiPriority w:val="99"/>
    <w:rPr>
      <w:kern w:val="2"/>
      <w:sz w:val="18"/>
      <w:szCs w:val="18"/>
    </w:rPr>
  </w:style>
  <w:style w:type="paragraph" w:customStyle="1" w:styleId="3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0">
    <w:name w:val="正文2"/>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1AAB0-BC8C-421B-8294-D13865CDD20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2342</Words>
  <Characters>13351</Characters>
  <Lines>111</Lines>
  <Paragraphs>31</Paragraphs>
  <TotalTime>25</TotalTime>
  <ScaleCrop>false</ScaleCrop>
  <LinksUpToDate>false</LinksUpToDate>
  <CharactersWithSpaces>15662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2017-04-10T01:44:00Z</dcterms:created>
  <dc:creator>王毅</dc:creator>
  <cp:lastModifiedBy>王静</cp:lastModifiedBy>
  <cp:lastPrinted>2019-05-20T08:07:00Z</cp:lastPrinted>
  <dcterms:modified xsi:type="dcterms:W3CDTF">2023-05-30T02:02:01Z</dcterms:modified>
  <dc:title>四川川投水务集团有限公司</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CFB679FF65CC424CA62486E11F758983</vt:lpwstr>
  </property>
</Properties>
</file>