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auto"/>
          <w:sz w:val="36"/>
          <w:szCs w:val="36"/>
          <w:highlight w:val="none"/>
        </w:rPr>
      </w:pPr>
      <w:r>
        <w:rPr>
          <w:rFonts w:hint="eastAsia"/>
          <w:b/>
          <w:color w:val="auto"/>
          <w:sz w:val="36"/>
          <w:szCs w:val="36"/>
          <w:highlight w:val="none"/>
          <w:lang w:eastAsia="zh-CN"/>
        </w:rPr>
        <w:t>川投（达州）燃气发电有限公司</w:t>
      </w:r>
    </w:p>
    <w:p>
      <w:pPr>
        <w:pStyle w:val="2"/>
        <w:jc w:val="center"/>
        <w:rPr>
          <w:rFonts w:hint="eastAsia" w:cs="Times New Roman"/>
          <w:b/>
          <w:color w:val="auto"/>
          <w:sz w:val="36"/>
          <w:szCs w:val="36"/>
          <w:highlight w:val="none"/>
          <w:lang w:val="en-US" w:eastAsia="zh-CN"/>
        </w:rPr>
      </w:pPr>
      <w:r>
        <w:rPr>
          <w:rFonts w:hint="eastAsia" w:ascii="Times New Roman" w:hAnsi="Times New Roman" w:eastAsia="宋体" w:cs="Times New Roman"/>
          <w:b/>
          <w:color w:val="auto"/>
          <w:kern w:val="2"/>
          <w:sz w:val="36"/>
          <w:szCs w:val="36"/>
          <w:highlight w:val="none"/>
          <w:lang w:val="en-US" w:eastAsia="zh-CN" w:bidi="ar-SA"/>
        </w:rPr>
        <w:t>衣柜、书桌等采购项目</w:t>
      </w:r>
      <w:r>
        <w:rPr>
          <w:rFonts w:hint="eastAsia" w:cs="Times New Roman"/>
          <w:b/>
          <w:color w:val="auto"/>
          <w:sz w:val="36"/>
          <w:szCs w:val="36"/>
          <w:highlight w:val="none"/>
          <w:lang w:val="en-US" w:eastAsia="zh-CN"/>
        </w:rPr>
        <w:t>比选公告</w:t>
      </w:r>
    </w:p>
    <w:p>
      <w:pPr>
        <w:spacing w:beforeLines="0" w:afterLines="0" w:line="360" w:lineRule="auto"/>
        <w:ind w:firstLine="560" w:firstLineChars="200"/>
        <w:rPr>
          <w:rFonts w:hint="eastAsia" w:ascii="仿宋_GB2312" w:eastAsia="仿宋_GB2312"/>
          <w:color w:val="auto"/>
          <w:sz w:val="28"/>
          <w:szCs w:val="28"/>
          <w:highlight w:val="none"/>
          <w:lang w:val="en-US" w:eastAsia="zh-CN"/>
        </w:rPr>
      </w:pPr>
    </w:p>
    <w:p>
      <w:pPr>
        <w:spacing w:beforeLines="0" w:afterLines="0" w:line="360" w:lineRule="auto"/>
        <w:ind w:firstLine="560" w:firstLineChars="200"/>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川投（达州）燃气发电有限公司（以下简称“达州气电”）拟为采购一批衣柜、书桌等，以公开比选方式选择确定供应商服务，请符合要求的单位报名参加。</w:t>
      </w:r>
    </w:p>
    <w:p>
      <w:pPr>
        <w:numPr>
          <w:ilvl w:val="0"/>
          <w:numId w:val="0"/>
        </w:numPr>
        <w:spacing w:beforeLines="0" w:afterLines="0" w:line="560" w:lineRule="exact"/>
        <w:ind w:firstLine="560" w:firstLineChars="200"/>
        <w:rPr>
          <w:rFonts w:hint="default" w:ascii="黑体" w:hAnsi="ˎ̥_GB2312" w:eastAsia="黑体" w:cs="宋体"/>
          <w:color w:val="auto"/>
          <w:kern w:val="0"/>
          <w:sz w:val="28"/>
          <w:szCs w:val="28"/>
          <w:highlight w:val="none"/>
          <w:lang w:val="en-US" w:eastAsia="zh-CN"/>
        </w:rPr>
      </w:pPr>
      <w:r>
        <w:rPr>
          <w:rFonts w:hint="eastAsia" w:ascii="黑体" w:hAnsi="ˎ̥_GB2312" w:eastAsia="黑体" w:cs="宋体"/>
          <w:color w:val="auto"/>
          <w:kern w:val="0"/>
          <w:sz w:val="28"/>
          <w:szCs w:val="28"/>
          <w:highlight w:val="none"/>
          <w:lang w:val="en-US" w:eastAsia="zh-CN"/>
        </w:rPr>
        <w:t>一、项目概况</w:t>
      </w:r>
    </w:p>
    <w:p>
      <w:pPr>
        <w:spacing w:beforeLines="0" w:afterLines="0" w:line="360" w:lineRule="auto"/>
        <w:ind w:firstLine="560" w:firstLineChars="200"/>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项目名称：衣柜、书桌采购。</w:t>
      </w:r>
    </w:p>
    <w:p>
      <w:pPr>
        <w:spacing w:beforeLines="0" w:afterLines="0" w:line="360" w:lineRule="auto"/>
        <w:ind w:firstLine="560" w:firstLineChars="200"/>
        <w:rPr>
          <w:rFonts w:hint="default"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地点：四川省达州市高新区斌郎乡桥坝社区7组川投（达州）燃气发电有限公司</w:t>
      </w:r>
    </w:p>
    <w:p>
      <w:pPr>
        <w:numPr>
          <w:ilvl w:val="-1"/>
          <w:numId w:val="0"/>
        </w:numPr>
        <w:spacing w:beforeLines="0" w:afterLines="0" w:line="560" w:lineRule="exact"/>
        <w:ind w:firstLine="560" w:firstLineChars="200"/>
        <w:rPr>
          <w:rFonts w:hint="eastAsia" w:ascii="黑体" w:hAnsi="ˎ̥_GB2312" w:eastAsia="黑体" w:cs="宋体"/>
          <w:color w:val="auto"/>
          <w:kern w:val="0"/>
          <w:sz w:val="28"/>
          <w:szCs w:val="28"/>
          <w:highlight w:val="none"/>
          <w:lang w:eastAsia="zh-CN"/>
        </w:rPr>
      </w:pPr>
      <w:r>
        <w:rPr>
          <w:rFonts w:hint="eastAsia" w:ascii="黑体" w:hAnsi="ˎ̥_GB2312" w:eastAsia="黑体" w:cs="宋体"/>
          <w:color w:val="auto"/>
          <w:kern w:val="0"/>
          <w:sz w:val="28"/>
          <w:szCs w:val="28"/>
          <w:highlight w:val="none"/>
          <w:lang w:val="en-US" w:eastAsia="zh-CN"/>
        </w:rPr>
        <w:t>二、采购范围及</w:t>
      </w:r>
      <w:r>
        <w:rPr>
          <w:rFonts w:hint="eastAsia" w:ascii="黑体" w:hAnsi="ˎ̥_GB2312" w:eastAsia="黑体" w:cs="宋体"/>
          <w:color w:val="auto"/>
          <w:kern w:val="0"/>
          <w:sz w:val="28"/>
          <w:szCs w:val="28"/>
          <w:highlight w:val="none"/>
          <w:lang w:eastAsia="zh-CN"/>
        </w:rPr>
        <w:t>内容</w:t>
      </w:r>
    </w:p>
    <w:p>
      <w:pPr>
        <w:pStyle w:val="5"/>
        <w:numPr>
          <w:ilvl w:val="0"/>
          <w:numId w:val="0"/>
        </w:numPr>
        <w:ind w:firstLine="560" w:firstLineChars="200"/>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宿舍楼共101间房间内衣柜、书桌等定制采购及安装售后，衣柜面积约1124㎡，书桌101台。具体尺寸及要求详见《川投（达州）燃气发电有限公司新建宿舍楼衣柜（含茶吧柜）、书桌技术规范书》。</w:t>
      </w:r>
    </w:p>
    <w:p>
      <w:pPr>
        <w:numPr>
          <w:ilvl w:val="-1"/>
          <w:numId w:val="0"/>
        </w:numPr>
        <w:spacing w:beforeLines="0" w:afterLines="0" w:line="560" w:lineRule="exact"/>
        <w:ind w:firstLine="560" w:firstLineChars="200"/>
        <w:rPr>
          <w:rFonts w:hint="eastAsia" w:ascii="黑体" w:hAnsi="ˎ̥_GB2312" w:eastAsia="黑体" w:cs="宋体"/>
          <w:color w:val="auto"/>
          <w:kern w:val="0"/>
          <w:sz w:val="28"/>
          <w:szCs w:val="28"/>
          <w:highlight w:val="none"/>
          <w:lang w:val="en-US" w:eastAsia="zh-CN"/>
        </w:rPr>
      </w:pPr>
      <w:r>
        <w:rPr>
          <w:rFonts w:hint="eastAsia" w:ascii="黑体" w:hAnsi="ˎ̥_GB2312" w:eastAsia="黑体" w:cs="宋体"/>
          <w:color w:val="auto"/>
          <w:kern w:val="0"/>
          <w:sz w:val="28"/>
          <w:szCs w:val="28"/>
          <w:highlight w:val="none"/>
          <w:lang w:val="en-US" w:eastAsia="zh-CN"/>
        </w:rPr>
        <w:t>三、计划工期</w:t>
      </w:r>
    </w:p>
    <w:p>
      <w:pPr>
        <w:pStyle w:val="5"/>
        <w:numPr>
          <w:ilvl w:val="0"/>
          <w:numId w:val="0"/>
        </w:numPr>
        <w:ind w:firstLine="560" w:firstLineChars="200"/>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总工期60日历天。</w:t>
      </w:r>
    </w:p>
    <w:p>
      <w:pPr>
        <w:numPr>
          <w:ilvl w:val="-1"/>
          <w:numId w:val="0"/>
        </w:numPr>
        <w:spacing w:beforeLines="0" w:afterLines="0" w:line="560" w:lineRule="exact"/>
        <w:ind w:firstLine="560" w:firstLineChars="200"/>
        <w:rPr>
          <w:rFonts w:hint="eastAsia" w:ascii="黑体" w:hAnsi="ˎ̥_GB2312" w:eastAsia="黑体" w:cs="宋体"/>
          <w:color w:val="auto"/>
          <w:kern w:val="0"/>
          <w:sz w:val="28"/>
          <w:szCs w:val="28"/>
          <w:highlight w:val="none"/>
          <w:lang w:val="en-US" w:eastAsia="zh-CN"/>
        </w:rPr>
      </w:pPr>
      <w:r>
        <w:rPr>
          <w:rFonts w:hint="eastAsia" w:ascii="黑体" w:hAnsi="ˎ̥_GB2312" w:eastAsia="黑体" w:cs="宋体"/>
          <w:color w:val="auto"/>
          <w:kern w:val="0"/>
          <w:sz w:val="28"/>
          <w:szCs w:val="28"/>
          <w:highlight w:val="none"/>
          <w:lang w:val="en-US" w:eastAsia="zh-CN"/>
        </w:rPr>
        <w:t>四、资格要求</w:t>
      </w:r>
    </w:p>
    <w:p>
      <w:pPr>
        <w:spacing w:beforeLines="0" w:afterLines="0" w:line="360" w:lineRule="auto"/>
        <w:ind w:firstLine="560" w:firstLineChars="200"/>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1.比选申请人应为具有民事主体资格和行为能力的法人、其他组织或自然人，其经营范围包含家具制造或销售。</w:t>
      </w:r>
    </w:p>
    <w:p>
      <w:pPr>
        <w:spacing w:beforeLines="0" w:afterLines="0" w:line="360" w:lineRule="auto"/>
        <w:ind w:firstLine="560" w:firstLineChars="200"/>
        <w:rPr>
          <w:rFonts w:hint="default"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2.提供2022年至本次比选文件递交截止时间来，至少1项定制家具销售业绩。</w:t>
      </w:r>
    </w:p>
    <w:p>
      <w:pPr>
        <w:spacing w:beforeLines="0" w:afterLines="0" w:line="360" w:lineRule="auto"/>
        <w:ind w:firstLine="560" w:firstLineChars="200"/>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3.不接受联合体参选。</w:t>
      </w:r>
    </w:p>
    <w:p>
      <w:pPr>
        <w:spacing w:beforeLines="0" w:afterLines="0" w:line="560" w:lineRule="exact"/>
        <w:ind w:firstLine="560" w:firstLineChars="200"/>
        <w:rPr>
          <w:rFonts w:hint="eastAsia" w:ascii="黑体" w:hAnsi="ˎ̥_GB2312" w:eastAsia="黑体" w:cs="宋体"/>
          <w:color w:val="auto"/>
          <w:kern w:val="0"/>
          <w:sz w:val="28"/>
          <w:szCs w:val="28"/>
          <w:highlight w:val="none"/>
          <w:lang w:eastAsia="zh-CN"/>
        </w:rPr>
      </w:pPr>
      <w:r>
        <w:rPr>
          <w:rFonts w:hint="eastAsia" w:ascii="黑体" w:hAnsi="ˎ̥_GB2312" w:eastAsia="黑体" w:cs="宋体"/>
          <w:color w:val="auto"/>
          <w:kern w:val="0"/>
          <w:sz w:val="28"/>
          <w:szCs w:val="28"/>
          <w:highlight w:val="none"/>
          <w:lang w:val="en-US" w:eastAsia="zh-CN"/>
        </w:rPr>
        <w:t>五</w:t>
      </w:r>
      <w:r>
        <w:rPr>
          <w:rFonts w:hint="eastAsia" w:ascii="黑体" w:hAnsi="ˎ̥_GB2312" w:eastAsia="黑体" w:cs="宋体"/>
          <w:color w:val="auto"/>
          <w:kern w:val="0"/>
          <w:sz w:val="28"/>
          <w:szCs w:val="28"/>
          <w:highlight w:val="none"/>
          <w:lang w:eastAsia="zh-CN"/>
        </w:rPr>
        <w:t>、比选文件的获取</w:t>
      </w:r>
    </w:p>
    <w:p>
      <w:pPr>
        <w:spacing w:beforeLines="0" w:afterLines="0" w:line="360" w:lineRule="auto"/>
        <w:ind w:firstLine="560" w:firstLineChars="200"/>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（一）发布公告的媒介：本次比选公告在</w:t>
      </w:r>
      <w:r>
        <w:rPr>
          <w:rFonts w:hint="eastAsia" w:ascii="仿宋_GB2312" w:hAnsi="Times New Roman" w:eastAsia="仿宋_GB2312" w:cs="Times New Roman"/>
          <w:color w:val="auto"/>
          <w:sz w:val="28"/>
          <w:szCs w:val="28"/>
          <w:highlight w:val="none"/>
          <w:lang w:val="en-US" w:eastAsia="zh-CN"/>
        </w:rPr>
        <w:fldChar w:fldCharType="begin"/>
      </w:r>
      <w:r>
        <w:rPr>
          <w:rFonts w:hint="eastAsia" w:ascii="仿宋_GB2312" w:hAnsi="Times New Roman" w:eastAsia="仿宋_GB2312" w:cs="Times New Roman"/>
          <w:color w:val="auto"/>
          <w:sz w:val="28"/>
          <w:szCs w:val="28"/>
          <w:highlight w:val="none"/>
          <w:lang w:val="en-US" w:eastAsia="zh-CN"/>
        </w:rPr>
        <w:instrText xml:space="preserve"> HYPERLINK "https://www.baidu.com/link?url=3TU7qx-oMVyj4U-onJAFpIGiIuga1KN3N7gQDN8KfZ-y7Xb2n1lfNyJW-3cUuTHA&amp;wd=&amp;eqid=e2ea6735000811bc0000000661cd15ef" \t "https://www.baidu.com/_blank" </w:instrText>
      </w:r>
      <w:r>
        <w:rPr>
          <w:rFonts w:hint="eastAsia" w:ascii="仿宋_GB2312" w:hAnsi="Times New Roman" w:eastAsia="仿宋_GB2312" w:cs="Times New Roman"/>
          <w:color w:val="auto"/>
          <w:sz w:val="28"/>
          <w:szCs w:val="28"/>
          <w:highlight w:val="none"/>
          <w:lang w:val="en-US" w:eastAsia="zh-CN"/>
        </w:rPr>
        <w:fldChar w:fldCharType="separate"/>
      </w:r>
      <w:r>
        <w:rPr>
          <w:rFonts w:hint="eastAsia" w:ascii="仿宋_GB2312" w:hAnsi="Times New Roman" w:eastAsia="仿宋_GB2312" w:cs="Times New Roman"/>
          <w:color w:val="auto"/>
          <w:sz w:val="28"/>
          <w:szCs w:val="28"/>
          <w:highlight w:val="none"/>
          <w:lang w:val="en-US" w:eastAsia="zh-CN"/>
        </w:rPr>
        <w:t>四川省投资集团有限责任公司</w:t>
      </w:r>
      <w:r>
        <w:rPr>
          <w:rFonts w:hint="eastAsia" w:ascii="仿宋_GB2312" w:hAnsi="Times New Roman" w:eastAsia="仿宋_GB2312" w:cs="Times New Roman"/>
          <w:color w:val="auto"/>
          <w:sz w:val="28"/>
          <w:szCs w:val="28"/>
          <w:highlight w:val="none"/>
          <w:lang w:val="en-US" w:eastAsia="zh-CN"/>
        </w:rPr>
        <w:fldChar w:fldCharType="end"/>
      </w:r>
      <w:r>
        <w:rPr>
          <w:rFonts w:hint="eastAsia" w:ascii="仿宋_GB2312" w:hAnsi="Times New Roman" w:eastAsia="仿宋_GB2312" w:cs="Times New Roman"/>
          <w:color w:val="auto"/>
          <w:sz w:val="28"/>
          <w:szCs w:val="28"/>
          <w:highlight w:val="none"/>
          <w:lang w:val="en-US" w:eastAsia="zh-CN"/>
        </w:rPr>
        <w:t>官网（</w:t>
      </w:r>
      <w:r>
        <w:rPr>
          <w:rFonts w:hint="eastAsia" w:ascii="仿宋_GB2312" w:hAnsi="Times New Roman" w:eastAsia="仿宋_GB2312" w:cs="Times New Roman"/>
          <w:color w:val="auto"/>
          <w:sz w:val="28"/>
          <w:szCs w:val="28"/>
          <w:highlight w:val="none"/>
          <w:lang w:val="en-US" w:eastAsia="zh-CN"/>
        </w:rPr>
        <w:fldChar w:fldCharType="begin"/>
      </w:r>
      <w:r>
        <w:rPr>
          <w:rFonts w:hint="eastAsia" w:ascii="仿宋_GB2312" w:hAnsi="Times New Roman" w:eastAsia="仿宋_GB2312" w:cs="Times New Roman"/>
          <w:color w:val="auto"/>
          <w:sz w:val="28"/>
          <w:szCs w:val="28"/>
          <w:highlight w:val="none"/>
          <w:lang w:val="en-US" w:eastAsia="zh-CN"/>
        </w:rPr>
        <w:instrText xml:space="preserve"> HYPERLINK "http://www.invest.com." </w:instrText>
      </w:r>
      <w:r>
        <w:rPr>
          <w:rFonts w:hint="eastAsia" w:ascii="仿宋_GB2312" w:hAnsi="Times New Roman" w:eastAsia="仿宋_GB2312" w:cs="Times New Roman"/>
          <w:color w:val="auto"/>
          <w:sz w:val="28"/>
          <w:szCs w:val="28"/>
          <w:highlight w:val="none"/>
          <w:lang w:val="en-US" w:eastAsia="zh-CN"/>
        </w:rPr>
        <w:fldChar w:fldCharType="separate"/>
      </w:r>
      <w:r>
        <w:rPr>
          <w:rFonts w:hint="eastAsia" w:ascii="仿宋_GB2312" w:hAnsi="Times New Roman" w:eastAsia="仿宋_GB2312" w:cs="Times New Roman"/>
          <w:color w:val="auto"/>
          <w:sz w:val="28"/>
          <w:szCs w:val="28"/>
          <w:highlight w:val="none"/>
          <w:lang w:val="en-US" w:eastAsia="zh-CN"/>
        </w:rPr>
        <w:t>http://www.invest.com.</w:t>
      </w:r>
      <w:r>
        <w:rPr>
          <w:rFonts w:hint="eastAsia" w:ascii="仿宋_GB2312" w:hAnsi="Times New Roman" w:eastAsia="仿宋_GB2312" w:cs="Times New Roman"/>
          <w:color w:val="auto"/>
          <w:sz w:val="28"/>
          <w:szCs w:val="28"/>
          <w:highlight w:val="none"/>
          <w:lang w:val="en-US" w:eastAsia="zh-CN"/>
        </w:rPr>
        <w:fldChar w:fldCharType="end"/>
      </w:r>
      <w:r>
        <w:rPr>
          <w:rFonts w:hint="eastAsia" w:ascii="仿宋_GB2312" w:hAnsi="Times New Roman" w:eastAsia="仿宋_GB2312" w:cs="Times New Roman"/>
          <w:color w:val="auto"/>
          <w:sz w:val="28"/>
          <w:szCs w:val="28"/>
          <w:highlight w:val="none"/>
          <w:lang w:val="en-US" w:eastAsia="zh-CN"/>
        </w:rPr>
        <w:t>cn/）、川投（达州）燃气发电有限公司官网（https://ctqd.invest.com.cn/）和天府阳光采购服务平台（https://www.tfygcgfw.com/）发布。</w:t>
      </w:r>
    </w:p>
    <w:p>
      <w:pPr>
        <w:spacing w:beforeLines="0" w:afterLines="0" w:line="360" w:lineRule="auto"/>
        <w:ind w:firstLine="560" w:firstLineChars="200"/>
        <w:rPr>
          <w:rFonts w:hint="eastAsia" w:ascii="仿宋_GB2312" w:hAnsi="仿宋_GB2312" w:eastAsia="仿宋_GB2312" w:cs="仿宋_GB2312"/>
          <w:color w:val="auto"/>
          <w:kern w:val="0"/>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（二）凡具备上述条件并有意参加本项目的比选申请人，请于 2024 年12月13日前，登录天府阳光采购服务平台（https://www.tfygcgfw.com/），下载比选资料（含比选文件等）。下载比选资料前需完成天府阳光采购服务平台注册。</w:t>
      </w:r>
    </w:p>
    <w:p>
      <w:pPr>
        <w:spacing w:beforeLines="0" w:afterLines="0" w:line="560" w:lineRule="exact"/>
        <w:ind w:firstLine="560" w:firstLineChars="200"/>
        <w:rPr>
          <w:rFonts w:hint="eastAsia" w:ascii="黑体" w:hAnsi="ˎ̥_GB2312" w:eastAsia="黑体" w:cs="宋体"/>
          <w:color w:val="auto"/>
          <w:kern w:val="0"/>
          <w:sz w:val="28"/>
          <w:szCs w:val="28"/>
          <w:highlight w:val="none"/>
          <w:lang w:eastAsia="zh-CN"/>
        </w:rPr>
      </w:pPr>
      <w:r>
        <w:rPr>
          <w:rFonts w:hint="eastAsia" w:ascii="黑体" w:hAnsi="ˎ̥_GB2312" w:eastAsia="黑体" w:cs="宋体"/>
          <w:color w:val="auto"/>
          <w:kern w:val="0"/>
          <w:sz w:val="28"/>
          <w:szCs w:val="28"/>
          <w:highlight w:val="none"/>
          <w:lang w:val="en-US" w:eastAsia="zh-CN"/>
        </w:rPr>
        <w:t>六</w:t>
      </w:r>
      <w:r>
        <w:rPr>
          <w:rFonts w:hint="eastAsia" w:ascii="黑体" w:hAnsi="ˎ̥_GB2312" w:eastAsia="黑体" w:cs="宋体"/>
          <w:color w:val="auto"/>
          <w:kern w:val="0"/>
          <w:sz w:val="28"/>
          <w:szCs w:val="28"/>
          <w:highlight w:val="none"/>
          <w:lang w:eastAsia="zh-CN"/>
        </w:rPr>
        <w:t>、递交比选申请文件截止时间及地点</w:t>
      </w:r>
    </w:p>
    <w:p>
      <w:pPr>
        <w:spacing w:beforeLines="0" w:afterLines="0" w:line="360" w:lineRule="auto"/>
        <w:ind w:firstLine="560" w:firstLineChars="200"/>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 xml:space="preserve"> 比选申请文件递交截止时间为2024年12月17日10:00时，比选申请文件须在此时间之前专人或邮寄送至达州气电经营发展部办公室（邮寄以送达时间为准）。比选申请文件正本一套，副本一套，电子文档1份（加盖鲜章pdf扫描件）。迟到的比选申请文件、未按照要求密封的比选申请文件，比选人予以拒收。</w:t>
      </w:r>
    </w:p>
    <w:p>
      <w:pPr>
        <w:spacing w:beforeLines="0" w:afterLines="0" w:line="360" w:lineRule="auto"/>
        <w:ind w:firstLine="560" w:firstLineChars="200"/>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比选申请人以邮寄比选申请文件参加比选的，须随比选申请文件单独另附一份不到场承诺，承诺内容须包含比选申请人自愿不到场参加比选活动，且对本次开标、评标流程、结果无异议，如不附承诺，视为对本次比选开标、评标流程、结果无异议，后果由比选申请人自行承担。</w:t>
      </w:r>
      <w:bookmarkStart w:id="0" w:name="_GoBack"/>
      <w:bookmarkEnd w:id="0"/>
    </w:p>
    <w:p>
      <w:pPr>
        <w:spacing w:beforeLines="0" w:afterLines="0" w:line="360" w:lineRule="auto"/>
        <w:ind w:firstLine="560" w:firstLineChars="200"/>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比选人于2024年12月17日10:00时，在达州气电办公楼开启比选申请文件，比选人邀请已递交比选申请文件的比选申请人到场监督，到场的比选申请人（不要求一定到场）法定代表人或授权代理人须对本次比选文件开启情况签字确认。</w:t>
      </w:r>
    </w:p>
    <w:p>
      <w:pPr>
        <w:spacing w:beforeLines="0" w:afterLines="0" w:line="560" w:lineRule="exact"/>
        <w:ind w:firstLine="560" w:firstLineChars="200"/>
        <w:rPr>
          <w:rFonts w:hint="eastAsia" w:ascii="黑体" w:hAnsi="ˎ̥_GB2312" w:eastAsia="黑体" w:cs="宋体"/>
          <w:color w:val="auto"/>
          <w:kern w:val="0"/>
          <w:sz w:val="28"/>
          <w:szCs w:val="28"/>
          <w:highlight w:val="none"/>
          <w:lang w:eastAsia="zh-CN"/>
        </w:rPr>
      </w:pPr>
      <w:r>
        <w:rPr>
          <w:rFonts w:hint="eastAsia" w:ascii="黑体" w:hAnsi="ˎ̥_GB2312" w:eastAsia="黑体" w:cs="宋体"/>
          <w:color w:val="auto"/>
          <w:kern w:val="0"/>
          <w:sz w:val="28"/>
          <w:szCs w:val="28"/>
          <w:highlight w:val="none"/>
          <w:lang w:eastAsia="zh-CN"/>
        </w:rPr>
        <w:t>五、联系方式</w:t>
      </w:r>
    </w:p>
    <w:p>
      <w:pPr>
        <w:spacing w:beforeLines="0" w:afterLines="0" w:line="560" w:lineRule="exact"/>
        <w:ind w:firstLine="560" w:firstLineChars="200"/>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比 选 人：川投（达州）燃气发电有限公司</w:t>
      </w:r>
    </w:p>
    <w:p>
      <w:pPr>
        <w:spacing w:beforeLines="0" w:afterLines="0"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eastAsia="zh-CN"/>
        </w:rPr>
        <w:t>地    址：</w:t>
      </w:r>
      <w:r>
        <w:rPr>
          <w:rFonts w:hint="eastAsia" w:ascii="仿宋_GB2312" w:hAnsi="仿宋_GB2312" w:eastAsia="仿宋_GB2312" w:cs="仿宋_GB2312"/>
          <w:color w:val="auto"/>
          <w:kern w:val="0"/>
          <w:sz w:val="28"/>
          <w:szCs w:val="28"/>
          <w:highlight w:val="none"/>
          <w:lang w:val="en-US" w:eastAsia="zh-CN"/>
        </w:rPr>
        <w:t>四川省达州市高新区斌郎街道桥坝社区7组</w:t>
      </w:r>
      <w:r>
        <w:rPr>
          <w:rFonts w:hint="eastAsia" w:ascii="仿宋_GB2312" w:hAnsi="仿宋_GB2312" w:eastAsia="仿宋_GB2312" w:cs="仿宋_GB2312"/>
          <w:color w:val="auto"/>
          <w:kern w:val="0"/>
          <w:sz w:val="28"/>
          <w:szCs w:val="28"/>
          <w:highlight w:val="none"/>
          <w:lang w:eastAsia="zh-CN"/>
        </w:rPr>
        <w:t>川投（达州）燃气发电有限公司经营发</w:t>
      </w:r>
      <w:r>
        <w:rPr>
          <w:rFonts w:hint="eastAsia" w:ascii="仿宋_GB2312" w:hAnsi="仿宋_GB2312" w:eastAsia="仿宋_GB2312" w:cs="仿宋_GB2312"/>
          <w:color w:val="auto"/>
          <w:sz w:val="28"/>
          <w:szCs w:val="28"/>
          <w:highlight w:val="none"/>
          <w:lang w:eastAsia="zh-CN"/>
        </w:rPr>
        <w:t>展部</w:t>
      </w:r>
    </w:p>
    <w:p>
      <w:pPr>
        <w:spacing w:beforeLines="0" w:afterLines="0"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邮政编码：</w:t>
      </w:r>
      <w:r>
        <w:rPr>
          <w:rFonts w:hint="eastAsia" w:ascii="仿宋_GB2312" w:hAnsi="仿宋_GB2312" w:eastAsia="仿宋_GB2312" w:cs="仿宋_GB2312"/>
          <w:color w:val="auto"/>
          <w:sz w:val="28"/>
          <w:szCs w:val="28"/>
          <w:highlight w:val="none"/>
          <w:lang w:val="en-US" w:eastAsia="zh-CN"/>
        </w:rPr>
        <w:t>635000</w:t>
      </w:r>
      <w:r>
        <w:rPr>
          <w:rFonts w:hint="eastAsia" w:ascii="仿宋_GB2312" w:hAnsi="仿宋_GB2312" w:eastAsia="仿宋_GB2312" w:cs="仿宋_GB2312"/>
          <w:color w:val="auto"/>
          <w:sz w:val="28"/>
          <w:szCs w:val="28"/>
          <w:highlight w:val="none"/>
        </w:rPr>
        <w:t xml:space="preserve">            联 系 人：</w:t>
      </w:r>
      <w:r>
        <w:rPr>
          <w:rFonts w:hint="eastAsia" w:ascii="仿宋_GB2312" w:hAnsi="仿宋_GB2312" w:eastAsia="仿宋_GB2312" w:cs="仿宋_GB2312"/>
          <w:color w:val="auto"/>
          <w:sz w:val="28"/>
          <w:szCs w:val="28"/>
          <w:highlight w:val="none"/>
          <w:lang w:val="en-US" w:eastAsia="zh-CN"/>
        </w:rPr>
        <w:t xml:space="preserve">王女士    </w:t>
      </w:r>
    </w:p>
    <w:p>
      <w:pPr>
        <w:spacing w:beforeLines="0" w:afterLines="0"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color w:val="auto"/>
          <w:sz w:val="28"/>
          <w:szCs w:val="28"/>
          <w:highlight w:val="none"/>
          <w:lang w:val="en-US" w:eastAsia="zh-CN"/>
        </w:rPr>
        <w:t>0818-3331175      电子邮箱：</w:t>
      </w:r>
      <w:r>
        <w:rPr>
          <w:rFonts w:hint="eastAsia" w:ascii="仿宋_GB2312" w:hAnsi="仿宋_GB2312" w:eastAsia="仿宋_GB2312" w:cs="仿宋_GB2312"/>
          <w:color w:val="auto"/>
          <w:sz w:val="28"/>
          <w:szCs w:val="28"/>
          <w:highlight w:val="none"/>
          <w:lang w:val="en-US" w:eastAsia="zh-CN"/>
        </w:rPr>
        <w:fldChar w:fldCharType="begin"/>
      </w:r>
      <w:r>
        <w:rPr>
          <w:rFonts w:hint="eastAsia" w:ascii="仿宋_GB2312" w:hAnsi="仿宋_GB2312" w:eastAsia="仿宋_GB2312" w:cs="仿宋_GB2312"/>
          <w:color w:val="auto"/>
          <w:sz w:val="28"/>
          <w:szCs w:val="28"/>
          <w:highlight w:val="none"/>
          <w:lang w:val="en-US" w:eastAsia="zh-CN"/>
        </w:rPr>
        <w:instrText xml:space="preserve"> HYPERLINK "mailto:954375560@qq.com" </w:instrText>
      </w:r>
      <w:r>
        <w:rPr>
          <w:rFonts w:hint="eastAsia" w:ascii="仿宋_GB2312" w:hAnsi="仿宋_GB2312" w:eastAsia="仿宋_GB2312" w:cs="仿宋_GB2312"/>
          <w:color w:val="auto"/>
          <w:sz w:val="28"/>
          <w:szCs w:val="28"/>
          <w:highlight w:val="none"/>
          <w:lang w:val="en-US" w:eastAsia="zh-CN"/>
        </w:rPr>
        <w:fldChar w:fldCharType="separate"/>
      </w:r>
      <w:r>
        <w:rPr>
          <w:rStyle w:val="13"/>
          <w:rFonts w:hint="eastAsia" w:ascii="仿宋_GB2312" w:hAnsi="仿宋_GB2312" w:eastAsia="仿宋_GB2312" w:cs="仿宋_GB2312"/>
          <w:color w:val="auto"/>
          <w:sz w:val="28"/>
          <w:szCs w:val="28"/>
          <w:highlight w:val="none"/>
          <w:lang w:val="en-US" w:eastAsia="zh-CN"/>
        </w:rPr>
        <w:t>wangjing@ctdzqd.com</w:t>
      </w:r>
      <w:r>
        <w:rPr>
          <w:rFonts w:hint="eastAsia" w:ascii="仿宋_GB2312" w:hAnsi="仿宋_GB2312" w:eastAsia="仿宋_GB2312" w:cs="仿宋_GB2312"/>
          <w:color w:val="auto"/>
          <w:sz w:val="28"/>
          <w:szCs w:val="28"/>
          <w:highlight w:val="none"/>
          <w:lang w:val="en-US" w:eastAsia="zh-CN"/>
        </w:rPr>
        <w:fldChar w:fldCharType="end"/>
      </w:r>
    </w:p>
    <w:p>
      <w:pPr>
        <w:spacing w:beforeLines="0" w:afterLines="0" w:line="560" w:lineRule="exact"/>
        <w:ind w:right="0" w:firstLine="7420" w:firstLineChars="2650"/>
        <w:rPr>
          <w:rFonts w:hint="eastAsia" w:ascii="仿宋_GB2312" w:hAnsi="仿宋_GB2312" w:eastAsia="仿宋_GB2312" w:cs="仿宋_GB2312"/>
          <w:color w:val="auto"/>
          <w:sz w:val="28"/>
          <w:szCs w:val="28"/>
          <w:highlight w:val="none"/>
        </w:rPr>
      </w:pPr>
    </w:p>
    <w:p>
      <w:pPr>
        <w:pStyle w:val="7"/>
        <w:jc w:val="right"/>
      </w:pPr>
      <w:r>
        <w:rPr>
          <w:rFonts w:hint="eastAsia" w:ascii="仿宋_GB2312" w:hAnsi="仿宋_GB2312" w:eastAsia="仿宋_GB2312" w:cs="仿宋_GB2312"/>
          <w:color w:val="auto"/>
          <w:sz w:val="28"/>
          <w:szCs w:val="28"/>
          <w:highlight w:val="none"/>
        </w:rPr>
        <w:t>20</w:t>
      </w: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 xml:space="preserve"> 12</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ˎ̥_GB2312">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Style w:val="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89EE9B"/>
    <w:multiLevelType w:val="multilevel"/>
    <w:tmpl w:val="5E89EE9B"/>
    <w:lvl w:ilvl="0" w:tentative="0">
      <w:start w:val="1"/>
      <w:numFmt w:val="lowerLetter"/>
      <w:lvlText w:val="%1."/>
      <w:lvlJc w:val="left"/>
      <w:pPr>
        <w:tabs>
          <w:tab w:val="left" w:pos="397"/>
        </w:tabs>
        <w:ind w:left="454" w:hanging="454"/>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lowerLetter"/>
      <w:pStyle w:val="5"/>
      <w:suff w:val="space"/>
      <w:lvlText w:val="%4."/>
      <w:lvlJc w:val="left"/>
      <w:pPr>
        <w:tabs>
          <w:tab w:val="left" w:pos="578"/>
        </w:tabs>
        <w:ind w:left="567" w:hanging="567"/>
      </w:pPr>
      <w:rPr>
        <w:rFonts w:hint="default" w:ascii="Arial" w:hAnsi="Arial" w:eastAsia="宋体" w:cs="Times New Roman"/>
        <w:sz w:val="21"/>
        <w:szCs w:val="21"/>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3B1C9A"/>
    <w:rsid w:val="5C7A7B30"/>
    <w:rsid w:val="620F5A2C"/>
    <w:rsid w:val="69195240"/>
    <w:rsid w:val="6ABD13DA"/>
    <w:rsid w:val="73021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4"/>
    <w:basedOn w:val="1"/>
    <w:next w:val="1"/>
    <w:qFormat/>
    <w:uiPriority w:val="0"/>
    <w:pPr>
      <w:keepNext w:val="0"/>
      <w:keepLines w:val="0"/>
      <w:numPr>
        <w:ilvl w:val="3"/>
        <w:numId w:val="1"/>
      </w:numPr>
      <w:tabs>
        <w:tab w:val="clear" w:pos="578"/>
      </w:tabs>
      <w:spacing w:line="300" w:lineRule="auto"/>
      <w:ind w:left="0" w:leftChars="0" w:firstLine="0"/>
      <w:outlineLvl w:val="3"/>
    </w:pPr>
    <w:rPr>
      <w:rFonts w:ascii="Arial" w:hAnsi="Arial"/>
      <w:color w:val="auto"/>
      <w:kern w:val="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6'"/>
    <w:basedOn w:val="1"/>
    <w:next w:val="4"/>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4">
    <w:name w:val="AOHead3"/>
    <w:basedOn w:val="1"/>
    <w:next w:val="1"/>
    <w:qFormat/>
    <w:uiPriority w:val="0"/>
    <w:pPr>
      <w:widowControl/>
      <w:spacing w:line="360" w:lineRule="auto"/>
      <w:ind w:left="1260"/>
      <w:outlineLvl w:val="2"/>
    </w:pPr>
    <w:rPr>
      <w:color w:val="0000FF"/>
      <w:sz w:val="24"/>
    </w:rPr>
  </w:style>
  <w:style w:type="paragraph" w:styleId="6">
    <w:name w:val="Normal Indent"/>
    <w:basedOn w:val="1"/>
    <w:qFormat/>
    <w:uiPriority w:val="0"/>
    <w:pPr>
      <w:adjustRightInd w:val="0"/>
      <w:spacing w:line="315" w:lineRule="atLeast"/>
      <w:ind w:firstLine="420"/>
      <w:textAlignment w:val="baseline"/>
    </w:pPr>
    <w:rPr>
      <w:rFonts w:ascii="宋体"/>
      <w:kern w:val="0"/>
      <w:sz w:val="24"/>
      <w:szCs w:val="20"/>
    </w:rPr>
  </w:style>
  <w:style w:type="paragraph" w:styleId="7">
    <w:name w:val="Body Text"/>
    <w:basedOn w:val="1"/>
    <w:next w:val="1"/>
    <w:qFormat/>
    <w:uiPriority w:val="0"/>
    <w:pPr>
      <w:spacing w:after="12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toc 2"/>
    <w:basedOn w:val="1"/>
    <w:next w:val="1"/>
    <w:qFormat/>
    <w:uiPriority w:val="39"/>
    <w:pPr>
      <w:tabs>
        <w:tab w:val="left" w:pos="1695"/>
        <w:tab w:val="right" w:leader="dot" w:pos="8280"/>
      </w:tabs>
      <w:snapToGrid w:val="0"/>
      <w:spacing w:line="440" w:lineRule="atLeast"/>
      <w:ind w:left="420" w:leftChars="200" w:firstLine="480" w:firstLineChars="200"/>
    </w:pPr>
    <w:rPr>
      <w:sz w:val="24"/>
    </w:rPr>
  </w:style>
  <w:style w:type="character" w:styleId="12">
    <w:name w:val="page number"/>
    <w:basedOn w:val="11"/>
    <w:qFormat/>
    <w:uiPriority w:val="0"/>
  </w:style>
  <w:style w:type="character" w:styleId="13">
    <w:name w:val="Hyperlink"/>
    <w:qFormat/>
    <w:uiPriority w:val="99"/>
    <w:rPr>
      <w:color w:val="0000FF"/>
      <w:u w:val="single"/>
    </w:rPr>
  </w:style>
  <w:style w:type="paragraph" w:customStyle="1" w:styleId="14">
    <w:name w:val="正文目录 + 首行缩进:  2 字符 + 首行缩进:  2 字符 + 首行缩进:  2 字符"/>
    <w:basedOn w:val="1"/>
    <w:qFormat/>
    <w:uiPriority w:val="99"/>
    <w:pPr>
      <w:spacing w:line="360" w:lineRule="auto"/>
      <w:jc w:val="center"/>
    </w:pPr>
    <w:rPr>
      <w:rFonts w:ascii="仿宋_GB2312" w:hAnsi="宋体" w:eastAsia="仿宋_GB2312"/>
      <w:b/>
      <w:kern w:val="0"/>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2024-08-28T08:04:00Z</dcterms:created>
  <dc:creator>DZQD</dc:creator>
  <cp:lastModifiedBy>王静</cp:lastModifiedBy>
  <dcterms:modified xsi:type="dcterms:W3CDTF">2024-12-09T08:39:04Z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605CE36DFB4A46D9BC404E4863BA9750</vt:lpwstr>
  </property>
</Properties>
</file>