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AA725">
      <w:pPr>
        <w:spacing w:line="360" w:lineRule="auto"/>
        <w:jc w:val="center"/>
        <w:rPr>
          <w:rFonts w:hint="eastAsia"/>
          <w:b/>
          <w:color w:val="auto"/>
          <w:sz w:val="32"/>
          <w:szCs w:val="32"/>
          <w:highlight w:val="none"/>
        </w:rPr>
      </w:pPr>
    </w:p>
    <w:p w14:paraId="7C644CF2">
      <w:pPr>
        <w:spacing w:line="360" w:lineRule="auto"/>
        <w:jc w:val="center"/>
        <w:rPr>
          <w:rFonts w:hint="eastAsia" w:eastAsia="宋体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  <w:t>川投（达州）燃气发电有限</w:t>
      </w:r>
      <w:r>
        <w:rPr>
          <w:rFonts w:hint="eastAsia"/>
          <w:b/>
          <w:color w:val="auto"/>
          <w:sz w:val="44"/>
          <w:szCs w:val="44"/>
          <w:highlight w:val="none"/>
          <w:lang w:eastAsia="zh-CN"/>
        </w:rPr>
        <w:t>公司</w:t>
      </w:r>
    </w:p>
    <w:p w14:paraId="45FFE29B">
      <w:pPr>
        <w:spacing w:line="360" w:lineRule="auto"/>
        <w:jc w:val="center"/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color w:val="auto"/>
          <w:sz w:val="48"/>
          <w:szCs w:val="48"/>
          <w:highlight w:val="none"/>
          <w:lang w:val="en-US" w:eastAsia="zh-CN"/>
        </w:rPr>
        <w:t>LVDT差动</w:t>
      </w:r>
      <w:r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  <w:t>位移传感器等122项</w:t>
      </w:r>
    </w:p>
    <w:p w14:paraId="632A2150">
      <w:pPr>
        <w:spacing w:line="360" w:lineRule="auto"/>
        <w:jc w:val="center"/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  <w:t>热控物资采购项目</w:t>
      </w:r>
      <w:bookmarkStart w:id="0" w:name="_Toc30332"/>
      <w:r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  <w:t>询比公告</w:t>
      </w:r>
      <w:bookmarkEnd w:id="0"/>
    </w:p>
    <w:p w14:paraId="5AFD911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outlineLvl w:val="9"/>
        <w:rPr>
          <w:rFonts w:hint="eastAsia"/>
          <w:b w:val="0"/>
          <w:color w:val="auto"/>
          <w:sz w:val="24"/>
          <w:szCs w:val="24"/>
          <w:highlight w:val="none"/>
          <w:lang w:val="en-US" w:eastAsia="zh-CN"/>
        </w:rPr>
      </w:pPr>
    </w:p>
    <w:p w14:paraId="103D90D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outlineLvl w:val="9"/>
        <w:rPr>
          <w:rFonts w:hint="eastAsia"/>
          <w:b w:val="0"/>
          <w:color w:val="auto"/>
          <w:sz w:val="24"/>
          <w:szCs w:val="24"/>
          <w:highlight w:val="none"/>
        </w:rPr>
      </w:pPr>
      <w:r>
        <w:rPr>
          <w:rFonts w:hint="eastAsia"/>
          <w:b w:val="0"/>
          <w:color w:val="auto"/>
          <w:sz w:val="24"/>
          <w:szCs w:val="24"/>
          <w:highlight w:val="none"/>
          <w:lang w:val="en-US" w:eastAsia="zh-CN"/>
        </w:rPr>
        <w:t>川投（达州）燃气发电有限</w:t>
      </w:r>
      <w:r>
        <w:rPr>
          <w:rFonts w:hint="eastAsia"/>
          <w:b w:val="0"/>
          <w:color w:val="auto"/>
          <w:sz w:val="24"/>
          <w:szCs w:val="24"/>
          <w:highlight w:val="none"/>
          <w:lang w:eastAsia="zh-CN"/>
        </w:rPr>
        <w:t>公司（</w:t>
      </w:r>
      <w:r>
        <w:rPr>
          <w:rFonts w:hint="eastAsia"/>
          <w:b w:val="0"/>
          <w:color w:val="auto"/>
          <w:sz w:val="24"/>
          <w:szCs w:val="24"/>
          <w:highlight w:val="none"/>
          <w:lang w:val="en-US" w:eastAsia="zh-CN"/>
        </w:rPr>
        <w:t>以下简称“达州气电</w:t>
      </w:r>
      <w:r>
        <w:rPr>
          <w:rFonts w:hint="eastAsia" w:cs="Times New Roman"/>
          <w:b w:val="0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cs="Times New Roman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cs="Times New Roman"/>
          <w:b w:val="0"/>
          <w:color w:val="auto"/>
          <w:sz w:val="24"/>
          <w:szCs w:val="24"/>
          <w:highlight w:val="none"/>
        </w:rPr>
        <w:t>拟</w:t>
      </w:r>
      <w:r>
        <w:rPr>
          <w:rFonts w:hint="eastAsia" w:cs="Times New Roman"/>
          <w:b w:val="0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hAnsi="宋体" w:cs="Times New Roman"/>
          <w:b w:val="0"/>
          <w:color w:val="auto"/>
          <w:sz w:val="24"/>
          <w:szCs w:val="24"/>
          <w:highlight w:val="none"/>
          <w:lang w:eastAsia="zh-CN"/>
        </w:rPr>
        <w:t>LVDT差动位移传感器、防护罩、继电器</w:t>
      </w:r>
      <w:r>
        <w:rPr>
          <w:rFonts w:hint="eastAsia" w:hAnsi="宋体" w:cs="Times New Roman"/>
          <w:b w:val="0"/>
          <w:color w:val="auto"/>
          <w:sz w:val="24"/>
          <w:szCs w:val="24"/>
          <w:highlight w:val="none"/>
          <w:lang w:val="en-US" w:eastAsia="zh-CN"/>
        </w:rPr>
        <w:t>等多种生产备件</w:t>
      </w:r>
      <w:r>
        <w:rPr>
          <w:rFonts w:hint="eastAsia" w:hAnsi="宋体" w:cs="Times New Roman"/>
          <w:b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 w:cs="Times New Roman"/>
          <w:b w:val="0"/>
          <w:color w:val="auto"/>
          <w:sz w:val="24"/>
          <w:szCs w:val="24"/>
          <w:highlight w:val="none"/>
          <w:lang w:val="en-US" w:eastAsia="zh-CN"/>
        </w:rPr>
        <w:t>欢迎</w:t>
      </w:r>
      <w:r>
        <w:rPr>
          <w:rFonts w:hint="eastAsia" w:hAnsi="宋体" w:cs="Times New Roman"/>
          <w:b w:val="0"/>
          <w:color w:val="auto"/>
          <w:sz w:val="24"/>
          <w:szCs w:val="24"/>
          <w:highlight w:val="none"/>
        </w:rPr>
        <w:t>符合要求的</w:t>
      </w:r>
      <w:r>
        <w:rPr>
          <w:rFonts w:hint="eastAsia" w:ascii="仿宋_GB2312" w:hAnsi="宋体" w:eastAsia="仿宋_GB2312" w:cs="Times New Roman"/>
          <w:b w:val="0"/>
          <w:color w:val="auto"/>
          <w:sz w:val="24"/>
          <w:highlight w:val="none"/>
        </w:rPr>
        <w:t>公司参与</w:t>
      </w:r>
      <w:r>
        <w:rPr>
          <w:rFonts w:hint="eastAsia" w:ascii="仿宋_GB2312" w:hAnsi="宋体" w:eastAsia="仿宋_GB2312" w:cs="Times New Roman"/>
          <w:b w:val="0"/>
          <w:color w:val="auto"/>
          <w:sz w:val="24"/>
          <w:highlight w:val="none"/>
          <w:lang w:val="en-US" w:eastAsia="zh-CN"/>
        </w:rPr>
        <w:t>本次询比采购</w:t>
      </w:r>
      <w:r>
        <w:rPr>
          <w:rFonts w:hint="eastAsia" w:hAnsi="宋体" w:cs="Times New Roman"/>
          <w:b w:val="0"/>
          <w:color w:val="auto"/>
          <w:sz w:val="24"/>
          <w:szCs w:val="24"/>
          <w:highlight w:val="none"/>
        </w:rPr>
        <w:t>。</w:t>
      </w:r>
    </w:p>
    <w:p w14:paraId="6338D8B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基本情况</w:t>
      </w:r>
    </w:p>
    <w:p w14:paraId="3AA17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51" w:leftChars="-72" w:firstLine="48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 w:val="0"/>
          <w:color w:val="auto"/>
          <w:kern w:val="0"/>
          <w:sz w:val="24"/>
          <w:szCs w:val="24"/>
          <w:highlight w:val="none"/>
          <w:lang w:eastAsia="zh-CN"/>
        </w:rPr>
        <w:t>川投（达州）燃气发电有限公司位于四川省达州市高新区斌郎街道桥坝社区7组，一期建有2×350MW燃气发电机组，经营范围为电力投资开发、建设、生产经营和日常管理。二期新建2台74万M701J单轴燃气-蒸汽联合循环发电机组，投资约34亿元。</w:t>
      </w:r>
    </w:p>
    <w:p w14:paraId="58584CA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5" w:leftChars="200" w:hanging="655" w:hangingChars="272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询比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内容</w:t>
      </w:r>
    </w:p>
    <w:p w14:paraId="7DFA9B17">
      <w:pPr>
        <w:pStyle w:val="6"/>
        <w:numPr>
          <w:ilvl w:val="0"/>
          <w:numId w:val="0"/>
        </w:numPr>
        <w:ind w:firstLine="480" w:firstLineChars="200"/>
        <w:rPr>
          <w:rFonts w:hint="eastAsia" w:ascii="仿宋_GB2312" w:hAnsi="宋体" w:eastAsia="仿宋_GB2312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24"/>
          <w:szCs w:val="24"/>
          <w:highlight w:val="none"/>
          <w:lang w:eastAsia="zh-CN"/>
        </w:rPr>
        <w:t>LVDT差动位移传感器、防护罩、继电器等</w:t>
      </w:r>
      <w:r>
        <w:rPr>
          <w:rFonts w:hint="eastAsia" w:ascii="仿宋_GB2312" w:hAnsi="宋体" w:eastAsia="仿宋_GB2312" w:cs="Times New Roman"/>
          <w:b w:val="0"/>
          <w:kern w:val="0"/>
          <w:sz w:val="24"/>
          <w:szCs w:val="24"/>
          <w:highlight w:val="none"/>
          <w:lang w:val="en-US" w:eastAsia="zh-CN"/>
        </w:rPr>
        <w:t>多项物资。</w:t>
      </w:r>
    </w:p>
    <w:p w14:paraId="63BB7493"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outlineLvl w:val="9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三、资格要求</w:t>
      </w:r>
    </w:p>
    <w:p w14:paraId="6D25F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bCs w:val="0"/>
          <w:color w:val="auto"/>
          <w:sz w:val="24"/>
          <w:szCs w:val="24"/>
          <w:highlight w:val="none"/>
        </w:rPr>
        <w:t>1</w:t>
      </w:r>
      <w:r>
        <w:rPr>
          <w:rFonts w:hint="eastAsia" w:ascii="仿宋_GB2312" w:eastAsia="仿宋_GB2312" w:cs="Times New Roman"/>
          <w:b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/>
          <w:color w:val="auto"/>
          <w:sz w:val="24"/>
          <w:szCs w:val="24"/>
          <w:highlight w:val="none"/>
        </w:rPr>
        <w:t>在中国境内注册并具有独立法人资格、正常营运的合法企业。</w:t>
      </w:r>
    </w:p>
    <w:p w14:paraId="06895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4"/>
          <w:highlight w:val="none"/>
          <w:lang w:val="en-US" w:eastAsia="zh-CN"/>
        </w:rPr>
        <w:t>2.提供</w:t>
      </w:r>
      <w:r>
        <w:rPr>
          <w:rFonts w:hint="eastAsia" w:ascii="仿宋_GB2312" w:eastAsia="仿宋_GB2312" w:cs="Times New Roman"/>
          <w:color w:val="auto"/>
          <w:kern w:val="2"/>
          <w:sz w:val="24"/>
          <w:highlight w:val="none"/>
          <w:lang w:val="en-US" w:eastAsia="zh-CN"/>
        </w:rPr>
        <w:t>2023年1月1日</w:t>
      </w:r>
      <w:r>
        <w:rPr>
          <w:rFonts w:hint="eastAsia" w:ascii="仿宋_GB2312" w:hAnsi="Times New Roman" w:eastAsia="仿宋_GB2312" w:cs="Times New Roman"/>
          <w:color w:val="auto"/>
          <w:kern w:val="2"/>
          <w:sz w:val="24"/>
          <w:highlight w:val="none"/>
          <w:lang w:val="en-US" w:eastAsia="zh-CN"/>
        </w:rPr>
        <w:t>至本次</w:t>
      </w:r>
      <w:r>
        <w:rPr>
          <w:rFonts w:hint="eastAsia" w:ascii="仿宋_GB2312" w:eastAsia="仿宋_GB2312" w:cs="Times New Roman"/>
          <w:color w:val="auto"/>
          <w:kern w:val="2"/>
          <w:sz w:val="24"/>
          <w:highlight w:val="none"/>
          <w:lang w:val="en-US" w:eastAsia="zh-CN"/>
        </w:rPr>
        <w:t>采购文件</w:t>
      </w:r>
      <w:r>
        <w:rPr>
          <w:rFonts w:hint="eastAsia" w:ascii="仿宋_GB2312" w:hAnsi="Times New Roman" w:eastAsia="仿宋_GB2312" w:cs="Times New Roman"/>
          <w:color w:val="auto"/>
          <w:kern w:val="2"/>
          <w:sz w:val="24"/>
          <w:highlight w:val="none"/>
          <w:lang w:val="en-US" w:eastAsia="zh-CN"/>
        </w:rPr>
        <w:t>递交截止时间，两个能源类企业供货业绩合同。</w:t>
      </w:r>
    </w:p>
    <w:p w14:paraId="6654A6CB">
      <w:pPr>
        <w:keepNext w:val="0"/>
        <w:keepLines w:val="0"/>
        <w:pageBreakBefore w:val="0"/>
        <w:widowControl w:val="0"/>
        <w:tabs>
          <w:tab w:val="left" w:pos="0"/>
          <w:tab w:val="left" w:pos="1134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82" w:firstLineChars="200"/>
        <w:textAlignment w:val="auto"/>
        <w:outlineLvl w:val="9"/>
        <w:rPr>
          <w:rFonts w:ascii="仿宋" w:hAnsi="仿宋" w:eastAsia="仿宋"/>
          <w:b/>
          <w:color w:val="auto"/>
          <w:sz w:val="24"/>
          <w:szCs w:val="24"/>
          <w:highlight w:val="none"/>
          <w:lang w:val="eu-ES"/>
        </w:rPr>
      </w:pPr>
      <w:r>
        <w:rPr>
          <w:rFonts w:hint="eastAsia" w:ascii="仿宋" w:hAnsi="仿宋" w:eastAsia="仿宋"/>
          <w:b/>
          <w:color w:val="auto"/>
          <w:sz w:val="24"/>
          <w:szCs w:val="24"/>
          <w:highlight w:val="none"/>
          <w:lang w:val="eu-ES"/>
        </w:rPr>
        <w:t>四、报名时间、地点、方式</w:t>
      </w:r>
    </w:p>
    <w:p w14:paraId="5B5CE443"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询比</w:t>
      </w:r>
      <w:r>
        <w:rPr>
          <w:rFonts w:hint="eastAsia" w:ascii="仿宋_GB2312" w:eastAsia="仿宋_GB2312"/>
          <w:color w:val="auto"/>
          <w:sz w:val="24"/>
          <w:highlight w:val="none"/>
        </w:rPr>
        <w:t>公告在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达州气电外网（https://ctqd.invest.com.cn/）和四川能源天府阳光采购服务平台（http://scny.tfygcgfw.com/）</w:t>
      </w:r>
      <w:r>
        <w:rPr>
          <w:rFonts w:hint="eastAsia" w:ascii="仿宋_GB2312" w:eastAsia="仿宋_GB2312"/>
          <w:color w:val="auto"/>
          <w:sz w:val="24"/>
          <w:highlight w:val="none"/>
        </w:rPr>
        <w:t>发布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。</w:t>
      </w:r>
    </w:p>
    <w:p w14:paraId="129B4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有意参加的申请人，于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2026年4月3日17:00时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前登录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四川能源天府阳光采购服务平台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（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http://scny.tfygcgfw.com/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）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按照平台指引报名获取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采购文件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。</w:t>
      </w:r>
    </w:p>
    <w:p w14:paraId="29CA2961">
      <w:pPr>
        <w:spacing w:line="360" w:lineRule="auto"/>
        <w:ind w:firstLine="480" w:firstLineChars="200"/>
        <w:rPr>
          <w:rFonts w:hint="eastAsia" w:ascii="黑体" w:hAnsi="ˎ̥_GB2312" w:eastAsia="黑体" w:cs="宋体"/>
          <w:color w:val="auto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color w:val="auto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黑体" w:hAnsi="ˎ̥_GB2312" w:eastAsia="黑体" w:cs="宋体"/>
          <w:color w:val="auto"/>
          <w:kern w:val="0"/>
          <w:sz w:val="24"/>
          <w:highlight w:val="none"/>
        </w:rPr>
        <w:t>、递交</w:t>
      </w:r>
      <w:r>
        <w:rPr>
          <w:rFonts w:hint="eastAsia" w:ascii="黑体" w:hAnsi="ˎ̥_GB2312" w:eastAsia="黑体" w:cs="宋体"/>
          <w:color w:val="auto"/>
          <w:kern w:val="0"/>
          <w:sz w:val="24"/>
          <w:highlight w:val="none"/>
          <w:lang w:eastAsia="zh-CN"/>
        </w:rPr>
        <w:t>响应文件</w:t>
      </w:r>
      <w:r>
        <w:rPr>
          <w:rFonts w:hint="eastAsia" w:ascii="黑体" w:hAnsi="ˎ̥_GB2312" w:eastAsia="黑体" w:cs="宋体"/>
          <w:color w:val="auto"/>
          <w:kern w:val="0"/>
          <w:sz w:val="24"/>
          <w:highlight w:val="none"/>
        </w:rPr>
        <w:t>截止时间及地点</w:t>
      </w:r>
    </w:p>
    <w:p w14:paraId="7B13873C"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响应文件</w:t>
      </w:r>
      <w:r>
        <w:rPr>
          <w:rFonts w:hint="eastAsia" w:ascii="仿宋_GB2312" w:eastAsia="仿宋_GB2312"/>
          <w:color w:val="auto"/>
          <w:sz w:val="24"/>
          <w:highlight w:val="none"/>
        </w:rPr>
        <w:t>递交截止时间为</w:t>
      </w:r>
      <w:r>
        <w:rPr>
          <w:rFonts w:hint="eastAsia" w:ascii="仿宋_GB2312" w:eastAsia="仿宋_GB2312"/>
          <w:b/>
          <w:bCs/>
          <w:color w:val="auto"/>
          <w:sz w:val="24"/>
          <w:highlight w:val="none"/>
          <w:lang w:val="en-US" w:eastAsia="zh-CN"/>
        </w:rPr>
        <w:t>2026年4月14日10:00时</w:t>
      </w:r>
      <w:r>
        <w:rPr>
          <w:rFonts w:hint="eastAsia" w:ascii="仿宋_GB2312" w:eastAsia="仿宋_GB2312"/>
          <w:color w:val="auto"/>
          <w:sz w:val="24"/>
          <w:highlight w:val="none"/>
        </w:rPr>
        <w:t>，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响应文件</w:t>
      </w:r>
      <w:r>
        <w:rPr>
          <w:rFonts w:hint="eastAsia" w:ascii="仿宋_GB2312" w:eastAsia="仿宋_GB2312"/>
          <w:color w:val="auto"/>
          <w:sz w:val="24"/>
          <w:highlight w:val="none"/>
        </w:rPr>
        <w:t>须在此时间之前专人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color w:val="auto"/>
          <w:sz w:val="24"/>
          <w:highlight w:val="none"/>
        </w:rPr>
        <w:t>送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至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达州气电经营发展部办公室（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以送达时间为准）</w:t>
      </w:r>
      <w:r>
        <w:rPr>
          <w:rFonts w:hint="eastAsia" w:ascii="仿宋_GB2312" w:eastAsia="仿宋_GB2312"/>
          <w:color w:val="auto"/>
          <w:sz w:val="24"/>
          <w:highlight w:val="none"/>
        </w:rPr>
        <w:t>。</w:t>
      </w:r>
    </w:p>
    <w:p w14:paraId="4D378B90"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响应人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以邮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寄响应文件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参加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询比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的，须随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响应文件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单独另附一份不到场承诺，承诺内容须包含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响应人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自愿不到场参加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询比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活动，且对本次开标、评标流程、结果无异议，如不附承诺，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val="en-US" w:eastAsia="zh-CN"/>
        </w:rPr>
        <w:t>视为对本次询比</w:t>
      </w:r>
      <w:r>
        <w:rPr>
          <w:rFonts w:hint="eastAsia" w:ascii="仿宋_GB2312" w:hAnsi="Times New Roman" w:eastAsia="仿宋_GB2312" w:cs="Times New Roman"/>
          <w:color w:val="auto"/>
          <w:sz w:val="24"/>
          <w:highlight w:val="none"/>
          <w:lang w:val="en-US" w:eastAsia="zh-CN"/>
        </w:rPr>
        <w:t>开标、评标流程、结果无异议，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后果由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响应人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自行承担。</w:t>
      </w:r>
    </w:p>
    <w:p w14:paraId="000742A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 w:cs="Times New Roman"/>
          <w:color w:val="auto"/>
          <w:sz w:val="24"/>
          <w:highlight w:val="none"/>
          <w:lang w:val="en-US" w:eastAsia="zh-CN"/>
        </w:rPr>
        <w:t>响应人</w:t>
      </w:r>
      <w:r>
        <w:rPr>
          <w:rFonts w:hint="eastAsia" w:ascii="仿宋_GB2312" w:hAnsi="Times New Roman" w:eastAsia="仿宋_GB2312" w:cs="Times New Roman"/>
          <w:color w:val="auto"/>
          <w:sz w:val="24"/>
          <w:highlight w:val="none"/>
          <w:lang w:val="en-US" w:eastAsia="zh-CN"/>
        </w:rPr>
        <w:t>提交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响应文件（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纸质版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）</w:t>
      </w:r>
      <w:r>
        <w:rPr>
          <w:rFonts w:hint="eastAsia" w:ascii="仿宋_GB2312" w:eastAsia="仿宋_GB2312"/>
          <w:b/>
          <w:bCs/>
          <w:color w:val="auto"/>
          <w:sz w:val="24"/>
          <w:highlight w:val="none"/>
          <w:u w:val="single"/>
          <w:lang w:val="en-US" w:eastAsia="zh-CN"/>
        </w:rPr>
        <w:t>1份</w:t>
      </w:r>
      <w:r>
        <w:rPr>
          <w:rFonts w:hint="eastAsia" w:ascii="仿宋_GB2312" w:eastAsia="仿宋_GB2312"/>
          <w:b/>
          <w:bCs/>
          <w:color w:val="auto"/>
          <w:sz w:val="24"/>
          <w:highlight w:val="none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电子文档U盘1个（内含可编辑excel表格的报价明细表、签字盖章后报价申请文件扫描版*.PDF）</w:t>
      </w:r>
      <w:r>
        <w:rPr>
          <w:rFonts w:hint="eastAsia" w:ascii="仿宋_GB2312" w:eastAsia="仿宋_GB2312"/>
          <w:color w:val="auto"/>
          <w:sz w:val="24"/>
          <w:highlight w:val="none"/>
        </w:rPr>
        <w:t>。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采购人</w:t>
      </w:r>
      <w:r>
        <w:rPr>
          <w:rFonts w:hint="eastAsia" w:ascii="仿宋_GB2312" w:eastAsia="仿宋_GB2312"/>
          <w:color w:val="auto"/>
          <w:sz w:val="24"/>
          <w:highlight w:val="none"/>
        </w:rPr>
        <w:t>拒收迟到的、未按照要求密封的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响应文件</w:t>
      </w:r>
      <w:r>
        <w:rPr>
          <w:rFonts w:hint="eastAsia" w:ascii="仿宋_GB2312" w:eastAsia="仿宋_GB2312"/>
          <w:color w:val="auto"/>
          <w:sz w:val="24"/>
          <w:highlight w:val="none"/>
        </w:rPr>
        <w:t>。</w:t>
      </w:r>
    </w:p>
    <w:p w14:paraId="10E2CC18">
      <w:pPr>
        <w:spacing w:line="360" w:lineRule="auto"/>
        <w:ind w:firstLine="480" w:firstLineChars="200"/>
        <w:rPr>
          <w:rFonts w:hint="eastAsia" w:ascii="仿宋_GB2312" w:eastAsia="仿宋_GB2312"/>
          <w:strike w:val="0"/>
          <w:color w:val="auto"/>
          <w:sz w:val="24"/>
          <w:highlight w:val="none"/>
        </w:rPr>
      </w:pPr>
      <w:r>
        <w:rPr>
          <w:rFonts w:hint="eastAsia" w:ascii="仿宋_GB2312" w:eastAsia="仿宋_GB2312"/>
          <w:strike w:val="0"/>
          <w:color w:val="auto"/>
          <w:sz w:val="24"/>
          <w:highlight w:val="none"/>
          <w:lang w:eastAsia="zh-CN"/>
        </w:rPr>
        <w:t>采购人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于</w:t>
      </w:r>
      <w:r>
        <w:rPr>
          <w:rFonts w:hint="eastAsia" w:ascii="仿宋_GB2312" w:eastAsia="仿宋_GB2312"/>
          <w:b/>
          <w:bCs/>
          <w:strike w:val="0"/>
          <w:color w:val="auto"/>
          <w:sz w:val="24"/>
          <w:highlight w:val="none"/>
          <w:lang w:val="en-US" w:eastAsia="zh-CN"/>
        </w:rPr>
        <w:t>2026年4月14日10:00时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在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val="en-US" w:eastAsia="zh-CN"/>
        </w:rPr>
        <w:t>达州气电办公楼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开启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eastAsia="zh-CN"/>
        </w:rPr>
        <w:t>响应文件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，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eastAsia="zh-CN"/>
        </w:rPr>
        <w:t>采购人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邀请已递交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eastAsia="zh-CN"/>
        </w:rPr>
        <w:t>响应文件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的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val="en-US" w:eastAsia="zh-CN"/>
        </w:rPr>
        <w:t>响应人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到场监督，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val="en-US" w:eastAsia="zh-CN"/>
        </w:rPr>
        <w:t>到场的响应人（不要求一定到场）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法定代表人或授权代理人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eastAsia="zh-CN"/>
        </w:rPr>
        <w:t>须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对本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val="en-US" w:eastAsia="zh-CN"/>
        </w:rPr>
        <w:t>次采购文件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开启情况签字确认。</w:t>
      </w:r>
    </w:p>
    <w:p w14:paraId="648E0672">
      <w:pPr>
        <w:spacing w:line="360" w:lineRule="auto"/>
        <w:ind w:firstLine="480" w:firstLineChars="200"/>
        <w:rPr>
          <w:rFonts w:hint="eastAsia" w:ascii="黑体" w:hAnsi="ˎ̥_GB2312" w:eastAsia="黑体" w:cs="宋体"/>
          <w:color w:val="auto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color w:val="auto"/>
          <w:kern w:val="0"/>
          <w:sz w:val="24"/>
          <w:highlight w:val="none"/>
          <w:lang w:val="en-US" w:eastAsia="zh-CN"/>
        </w:rPr>
        <w:t>六</w:t>
      </w:r>
      <w:r>
        <w:rPr>
          <w:rFonts w:hint="eastAsia" w:ascii="黑体" w:hAnsi="ˎ̥_GB2312" w:eastAsia="黑体" w:cs="宋体"/>
          <w:color w:val="auto"/>
          <w:kern w:val="0"/>
          <w:sz w:val="24"/>
          <w:highlight w:val="none"/>
        </w:rPr>
        <w:t>、联系方式</w:t>
      </w:r>
    </w:p>
    <w:p w14:paraId="4A1A9EB2"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 xml:space="preserve">比 选 人：  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川投（达州）燃气发电有限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公司</w:t>
      </w:r>
    </w:p>
    <w:p w14:paraId="0DB6DBF7">
      <w:pPr>
        <w:spacing w:line="360" w:lineRule="auto"/>
        <w:ind w:left="1919" w:leftChars="228" w:hanging="1440" w:hangingChars="600"/>
        <w:rPr>
          <w:rFonts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 xml:space="preserve">地    址：  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四川省达州市高新区斌郎街道桥坝社区7组川投（达州）燃气发电有限公司</w:t>
      </w:r>
    </w:p>
    <w:p w14:paraId="7E9856C9"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 xml:space="preserve">邮政编码：  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635000</w:t>
      </w:r>
      <w:r>
        <w:rPr>
          <w:rFonts w:hint="eastAsia" w:ascii="仿宋_GB2312" w:eastAsia="仿宋_GB2312"/>
          <w:color w:val="auto"/>
          <w:sz w:val="24"/>
          <w:highlight w:val="none"/>
        </w:rPr>
        <w:t xml:space="preserve">            </w:t>
      </w:r>
    </w:p>
    <w:p w14:paraId="26CE50D6"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 xml:space="preserve">联 系 人：  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谭女士</w:t>
      </w:r>
    </w:p>
    <w:p w14:paraId="13614DFB"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联系电话：  0818-3331061</w:t>
      </w:r>
    </w:p>
    <w:p w14:paraId="43A73517"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邮    箱：  sw@ctdzqd.com</w:t>
      </w:r>
    </w:p>
    <w:p w14:paraId="01023D6B">
      <w:pPr>
        <w:pStyle w:val="7"/>
        <w:rPr>
          <w:rFonts w:hint="eastAsia"/>
          <w:color w:val="auto"/>
          <w:highlight w:val="none"/>
          <w:lang w:val="en-US" w:eastAsia="zh-CN"/>
        </w:rPr>
      </w:pPr>
    </w:p>
    <w:p w14:paraId="55185CC3">
      <w:pPr>
        <w:pStyle w:val="7"/>
        <w:rPr>
          <w:rFonts w:hint="eastAsia"/>
          <w:color w:val="auto"/>
          <w:highlight w:val="none"/>
          <w:lang w:val="en-US" w:eastAsia="zh-CN"/>
        </w:rPr>
      </w:pPr>
    </w:p>
    <w:p w14:paraId="79C09262">
      <w:pPr>
        <w:pStyle w:val="7"/>
        <w:jc w:val="right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2026年3月31日</w:t>
      </w:r>
    </w:p>
    <w:p w14:paraId="24BB5483">
      <w:pPr>
        <w:pStyle w:val="7"/>
        <w:ind w:firstLine="0"/>
        <w:jc w:val="both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BEB0"/>
    <w:multiLevelType w:val="singleLevel"/>
    <w:tmpl w:val="064FBE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89EE9B"/>
    <w:multiLevelType w:val="multilevel"/>
    <w:tmpl w:val="5E89EE9B"/>
    <w:lvl w:ilvl="0" w:tentative="0">
      <w:start w:val="1"/>
      <w:numFmt w:val="lowerLetter"/>
      <w:lvlText w:val="%1."/>
      <w:lvlJc w:val="left"/>
      <w:pPr>
        <w:tabs>
          <w:tab w:val="left" w:pos="397"/>
        </w:tabs>
        <w:ind w:left="454" w:hanging="45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6"/>
      <w:suff w:val="space"/>
      <w:lvlText w:val="%4."/>
      <w:lvlJc w:val="left"/>
      <w:pPr>
        <w:tabs>
          <w:tab w:val="left" w:pos="578"/>
        </w:tabs>
        <w:ind w:left="567" w:hanging="567"/>
      </w:pPr>
      <w:rPr>
        <w:rFonts w:hint="default" w:ascii="Arial" w:hAnsi="Arial" w:eastAsia="宋体" w:cs="Times New Roman"/>
        <w:sz w:val="21"/>
        <w:szCs w:val="21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63033850"/>
    <w:multiLevelType w:val="multilevel"/>
    <w:tmpl w:val="63033850"/>
    <w:lvl w:ilvl="0" w:tentative="0">
      <w:start w:val="1"/>
      <w:numFmt w:val="chineseCountingThousand"/>
      <w:pStyle w:val="5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B4D20"/>
    <w:rsid w:val="5A49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440" w:lineRule="atLeast"/>
      <w:jc w:val="center"/>
      <w:outlineLvl w:val="0"/>
    </w:pPr>
    <w:rPr>
      <w:rFonts w:eastAsia="黑体"/>
      <w:b/>
      <w:bCs/>
      <w:sz w:val="32"/>
      <w:szCs w:val="30"/>
    </w:rPr>
  </w:style>
  <w:style w:type="paragraph" w:styleId="6">
    <w:name w:val="heading 4"/>
    <w:basedOn w:val="1"/>
    <w:next w:val="1"/>
    <w:qFormat/>
    <w:uiPriority w:val="0"/>
    <w:pPr>
      <w:keepNext w:val="0"/>
      <w:keepLines w:val="0"/>
      <w:numPr>
        <w:ilvl w:val="3"/>
        <w:numId w:val="2"/>
      </w:numPr>
      <w:tabs>
        <w:tab w:val="clear" w:pos="578"/>
      </w:tabs>
      <w:spacing w:line="300" w:lineRule="auto"/>
      <w:ind w:left="0" w:leftChars="0" w:firstLine="0"/>
      <w:outlineLvl w:val="3"/>
    </w:pPr>
    <w:rPr>
      <w:rFonts w:ascii="Arial" w:hAnsi="Arial"/>
      <w:color w:val="auto"/>
      <w:kern w:val="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firstLine="420"/>
    </w:pPr>
    <w:rPr>
      <w:rFonts w:hAnsi="宋体" w:cs="宋体"/>
    </w:rPr>
  </w:style>
  <w:style w:type="paragraph" w:styleId="3">
    <w:name w:val="Body Text Indent"/>
    <w:basedOn w:val="1"/>
    <w:next w:val="2"/>
    <w:qFormat/>
    <w:uiPriority w:val="0"/>
    <w:pPr>
      <w:ind w:left="525" w:leftChars="250"/>
    </w:pPr>
    <w:rPr>
      <w:szCs w:val="24"/>
    </w:rPr>
  </w:style>
  <w:style w:type="paragraph" w:styleId="4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7">
    <w:name w:val="Normal Indent"/>
    <w:basedOn w:val="1"/>
    <w:qFormat/>
    <w:uiPriority w:val="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8">
    <w:name w:val="Body Text"/>
    <w:basedOn w:val="1"/>
    <w:qFormat/>
    <w:uiPriority w:val="0"/>
    <w:rPr>
      <w:sz w:val="28"/>
      <w:szCs w:val="20"/>
    </w:rPr>
  </w:style>
  <w:style w:type="paragraph" w:customStyle="1" w:styleId="11">
    <w:name w:val="正文目录 + 首行缩进:  2 字符 + 首行缩进:  2 字符 + 首行缩进:  2 字符"/>
    <w:basedOn w:val="1"/>
    <w:qFormat/>
    <w:uiPriority w:val="99"/>
    <w:pPr>
      <w:spacing w:line="360" w:lineRule="auto"/>
      <w:jc w:val="center"/>
    </w:pPr>
    <w:rPr>
      <w:rFonts w:ascii="仿宋_GB2312" w:hAnsi="宋体" w:eastAsia="仿宋_GB2312"/>
      <w:b/>
      <w:kern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2026-03-31T07:17:15Z</dcterms:created>
  <dc:creator>DZQD</dc:creator>
  <cp:lastModifiedBy>谭茗兮</cp:lastModifiedBy>
  <dcterms:modified xsi:type="dcterms:W3CDTF">2026-03-31T07:17:55Z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eyJoZGlkIjoiYjZjNDY0MDJmYzU3NmFhMDA3MjI4NWJiZWNjMjcxNmQiLCJ1c2VySWQiOiIxNTE3NDU3MTgwIn0=</vt:lpwstr>
  </property>
  <property fmtid="{D5CDD505-2E9C-101B-9397-08002B2CF9AE}" pid="4" name="ICV">
    <vt:lpwstr>F41D65BDB32D4E47ADFDB31DEDB464EF_12</vt:lpwstr>
  </property>
</Properties>
</file>